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年数字化校园平台维护费》采购需求</w:t>
      </w:r>
    </w:p>
    <w:p>
      <w:pPr>
        <w:ind w:firstLine="562" w:firstLineChars="200"/>
        <w:rPr>
          <w:b/>
          <w:sz w:val="28"/>
          <w:szCs w:val="28"/>
        </w:rPr>
      </w:pPr>
      <w:r>
        <w:rPr>
          <w:rFonts w:hint="eastAsia"/>
          <w:b/>
          <w:sz w:val="28"/>
          <w:szCs w:val="28"/>
        </w:rPr>
        <w:t>一、项目概况</w:t>
      </w:r>
    </w:p>
    <w:p>
      <w:pPr>
        <w:ind w:firstLine="560" w:firstLineChars="200"/>
        <w:rPr>
          <w:sz w:val="28"/>
          <w:szCs w:val="28"/>
        </w:rPr>
      </w:pPr>
      <w:r>
        <w:rPr>
          <w:rFonts w:hint="eastAsia"/>
          <w:sz w:val="28"/>
          <w:szCs w:val="28"/>
        </w:rPr>
        <w:t>1、项目名称：202</w:t>
      </w:r>
      <w:r>
        <w:rPr>
          <w:rFonts w:hint="eastAsia"/>
          <w:sz w:val="28"/>
          <w:szCs w:val="28"/>
          <w:lang w:val="en-US" w:eastAsia="zh-CN"/>
        </w:rPr>
        <w:t>3</w:t>
      </w:r>
      <w:r>
        <w:rPr>
          <w:rFonts w:hint="eastAsia"/>
          <w:sz w:val="28"/>
          <w:szCs w:val="28"/>
        </w:rPr>
        <w:t>年数字化校园平台维护费。</w:t>
      </w:r>
    </w:p>
    <w:p>
      <w:pPr>
        <w:ind w:firstLine="560" w:firstLineChars="200"/>
        <w:rPr>
          <w:sz w:val="28"/>
          <w:szCs w:val="28"/>
        </w:rPr>
      </w:pPr>
      <w:r>
        <w:rPr>
          <w:rFonts w:hint="eastAsia"/>
          <w:sz w:val="28"/>
          <w:szCs w:val="28"/>
        </w:rPr>
        <w:t>2、项目预算：</w:t>
      </w:r>
      <w:r>
        <w:rPr>
          <w:sz w:val="28"/>
          <w:szCs w:val="28"/>
        </w:rPr>
        <w:t>13.7</w:t>
      </w:r>
      <w:r>
        <w:rPr>
          <w:rFonts w:hint="eastAsia"/>
          <w:sz w:val="28"/>
          <w:szCs w:val="28"/>
        </w:rPr>
        <w:t>万元。</w:t>
      </w:r>
    </w:p>
    <w:p>
      <w:pPr>
        <w:ind w:firstLine="560" w:firstLineChars="200"/>
        <w:rPr>
          <w:sz w:val="28"/>
          <w:szCs w:val="28"/>
        </w:rPr>
      </w:pPr>
      <w:r>
        <w:rPr>
          <w:sz w:val="28"/>
          <w:szCs w:val="28"/>
        </w:rPr>
        <w:t>3</w:t>
      </w:r>
      <w:r>
        <w:rPr>
          <w:rFonts w:hint="eastAsia"/>
          <w:sz w:val="28"/>
          <w:szCs w:val="28"/>
        </w:rPr>
        <w:t>、采购方式：单一来源采购。</w:t>
      </w:r>
    </w:p>
    <w:p>
      <w:pPr>
        <w:ind w:firstLine="560" w:firstLineChars="200"/>
        <w:rPr>
          <w:sz w:val="28"/>
          <w:szCs w:val="28"/>
        </w:rPr>
      </w:pPr>
      <w:r>
        <w:rPr>
          <w:rFonts w:hint="eastAsia"/>
          <w:sz w:val="28"/>
          <w:szCs w:val="28"/>
        </w:rPr>
        <w:t>4、项目背景：《安徽新闻出版职业技术学院数字化校园一期软件采购第1包项目》于2017年8月建成；《安徽新闻出版职业技术学院学生管理系统采购项目》于2017年9月建成，为了使两个项目采购的系统保持正常运转，继续服务学院教学及工作，现进行维保服务采购。</w:t>
      </w:r>
    </w:p>
    <w:p>
      <w:pPr>
        <w:ind w:firstLine="562" w:firstLineChars="200"/>
        <w:rPr>
          <w:b/>
          <w:sz w:val="28"/>
          <w:szCs w:val="28"/>
        </w:rPr>
      </w:pPr>
      <w:r>
        <w:rPr>
          <w:rFonts w:hint="eastAsia"/>
          <w:b/>
          <w:sz w:val="28"/>
          <w:szCs w:val="28"/>
        </w:rPr>
        <w:t>二、服务期限</w:t>
      </w:r>
    </w:p>
    <w:p>
      <w:pPr>
        <w:ind w:firstLine="560" w:firstLineChars="200"/>
        <w:rPr>
          <w:sz w:val="28"/>
          <w:szCs w:val="28"/>
        </w:rPr>
      </w:pPr>
      <w:r>
        <w:rPr>
          <w:rFonts w:hint="eastAsia"/>
          <w:sz w:val="28"/>
          <w:szCs w:val="28"/>
        </w:rPr>
        <w:t>自合同签订之日起至20</w:t>
      </w:r>
      <w:r>
        <w:rPr>
          <w:sz w:val="28"/>
          <w:szCs w:val="28"/>
        </w:rPr>
        <w:t>2</w:t>
      </w:r>
      <w:r>
        <w:rPr>
          <w:rFonts w:hint="eastAsia"/>
          <w:sz w:val="28"/>
          <w:szCs w:val="28"/>
          <w:lang w:val="en-US" w:eastAsia="zh-CN"/>
        </w:rPr>
        <w:t>3</w:t>
      </w:r>
      <w:r>
        <w:rPr>
          <w:rFonts w:hint="eastAsia"/>
          <w:sz w:val="28"/>
          <w:szCs w:val="28"/>
        </w:rPr>
        <w:t>年12月</w:t>
      </w:r>
      <w:r>
        <w:rPr>
          <w:sz w:val="28"/>
          <w:szCs w:val="28"/>
        </w:rPr>
        <w:t>31</w:t>
      </w:r>
      <w:r>
        <w:rPr>
          <w:rFonts w:hint="eastAsia"/>
          <w:sz w:val="28"/>
          <w:szCs w:val="28"/>
        </w:rPr>
        <w:t>日。</w:t>
      </w:r>
    </w:p>
    <w:p>
      <w:pPr>
        <w:ind w:firstLine="562" w:firstLineChars="200"/>
        <w:rPr>
          <w:b/>
          <w:sz w:val="28"/>
          <w:szCs w:val="28"/>
        </w:rPr>
      </w:pPr>
      <w:r>
        <w:rPr>
          <w:rFonts w:hint="eastAsia"/>
          <w:b/>
          <w:sz w:val="28"/>
          <w:szCs w:val="28"/>
        </w:rPr>
        <w:t>三、服务范围</w:t>
      </w:r>
    </w:p>
    <w:p>
      <w:pPr>
        <w:ind w:firstLine="560" w:firstLineChars="200"/>
        <w:rPr>
          <w:sz w:val="28"/>
          <w:szCs w:val="28"/>
        </w:rPr>
      </w:pPr>
      <w:r>
        <w:rPr>
          <w:rFonts w:hint="eastAsia"/>
          <w:sz w:val="28"/>
          <w:szCs w:val="28"/>
        </w:rPr>
        <w:t>服务商需对“表一”中所列的应用提供服务期限内的维保服务。</w:t>
      </w:r>
    </w:p>
    <w:tbl>
      <w:tblPr>
        <w:tblStyle w:val="5"/>
        <w:tblW w:w="5320" w:type="dxa"/>
        <w:jc w:val="center"/>
        <w:tblLayout w:type="autofit"/>
        <w:tblCellMar>
          <w:top w:w="0" w:type="dxa"/>
          <w:left w:w="108" w:type="dxa"/>
          <w:bottom w:w="0" w:type="dxa"/>
          <w:right w:w="108" w:type="dxa"/>
        </w:tblCellMar>
      </w:tblPr>
      <w:tblGrid>
        <w:gridCol w:w="1080"/>
        <w:gridCol w:w="2080"/>
        <w:gridCol w:w="1080"/>
        <w:gridCol w:w="1080"/>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序号</w:t>
            </w:r>
          </w:p>
        </w:tc>
        <w:tc>
          <w:tcPr>
            <w:tcW w:w="2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应用名称</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数量</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单位</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主数据管理平台</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2</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统一身份认证平台</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3</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迎新服务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4</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宿舍服务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5</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学生信息管理系统</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6</w:t>
            </w:r>
          </w:p>
        </w:tc>
        <w:tc>
          <w:tcPr>
            <w:tcW w:w="2080"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学生离校管理系统</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kern w:val="0"/>
                <w:sz w:val="22"/>
              </w:rPr>
            </w:pPr>
            <w:r>
              <w:rPr>
                <w:rFonts w:hint="eastAsia" w:ascii="等线" w:hAnsi="等线" w:eastAsia="等线" w:cs="宋体"/>
                <w:kern w:val="0"/>
                <w:sz w:val="22"/>
              </w:rPr>
              <w:t>套</w:t>
            </w:r>
          </w:p>
        </w:tc>
      </w:tr>
    </w:tbl>
    <w:p>
      <w:pPr>
        <w:ind w:firstLine="420" w:firstLineChars="200"/>
        <w:jc w:val="center"/>
        <w:rPr>
          <w:szCs w:val="28"/>
        </w:rPr>
      </w:pPr>
      <w:r>
        <w:rPr>
          <w:rFonts w:hint="eastAsia"/>
          <w:szCs w:val="28"/>
        </w:rPr>
        <w:t>表一</w:t>
      </w:r>
    </w:p>
    <w:p>
      <w:pPr>
        <w:widowControl/>
        <w:jc w:val="left"/>
        <w:rPr>
          <w:szCs w:val="28"/>
        </w:rPr>
      </w:pPr>
      <w:r>
        <w:rPr>
          <w:szCs w:val="28"/>
        </w:rPr>
        <w:br w:type="page"/>
      </w:r>
    </w:p>
    <w:p>
      <w:pPr>
        <w:ind w:firstLine="562" w:firstLineChars="200"/>
        <w:rPr>
          <w:b/>
          <w:sz w:val="28"/>
          <w:szCs w:val="28"/>
        </w:rPr>
      </w:pPr>
      <w:r>
        <w:rPr>
          <w:rFonts w:hint="eastAsia"/>
          <w:b/>
          <w:sz w:val="28"/>
          <w:szCs w:val="28"/>
        </w:rPr>
        <w:t>四、服务内容</w:t>
      </w:r>
    </w:p>
    <w:tbl>
      <w:tblPr>
        <w:tblStyle w:val="5"/>
        <w:tblW w:w="5000" w:type="pct"/>
        <w:jc w:val="center"/>
        <w:tblLayout w:type="autofit"/>
        <w:tblCellMar>
          <w:top w:w="0" w:type="dxa"/>
          <w:left w:w="108" w:type="dxa"/>
          <w:bottom w:w="0" w:type="dxa"/>
          <w:right w:w="108" w:type="dxa"/>
        </w:tblCellMar>
      </w:tblPr>
      <w:tblGrid>
        <w:gridCol w:w="1505"/>
        <w:gridCol w:w="2257"/>
        <w:gridCol w:w="4760"/>
      </w:tblGrid>
      <w:tr>
        <w:tblPrEx>
          <w:tblCellMar>
            <w:top w:w="0" w:type="dxa"/>
            <w:left w:w="108" w:type="dxa"/>
            <w:bottom w:w="0" w:type="dxa"/>
            <w:right w:w="108" w:type="dxa"/>
          </w:tblCellMar>
        </w:tblPrEx>
        <w:trPr>
          <w:trHeight w:val="285" w:hRule="atLeast"/>
          <w:jc w:val="center"/>
        </w:trPr>
        <w:tc>
          <w:tcPr>
            <w:tcW w:w="883" w:type="pct"/>
            <w:tcBorders>
              <w:top w:val="single" w:color="auto" w:sz="4" w:space="0"/>
              <w:left w:val="single" w:color="auto" w:sz="4" w:space="0"/>
              <w:bottom w:val="single" w:color="auto" w:sz="4" w:space="0"/>
              <w:right w:val="single" w:color="auto" w:sz="4" w:space="0"/>
            </w:tcBorders>
            <w:shd w:val="clear" w:color="auto" w:fill="D9D9D9"/>
            <w:vAlign w:val="center"/>
          </w:tcPr>
          <w:p>
            <w:pPr>
              <w:rPr>
                <w:rFonts w:ascii="宋体" w:hAnsi="宋体" w:cs="宋体"/>
                <w:b/>
                <w:bCs/>
                <w:sz w:val="24"/>
              </w:rPr>
            </w:pPr>
            <w:r>
              <w:rPr>
                <w:rFonts w:hint="eastAsia" w:ascii="宋体" w:hAnsi="宋体" w:cs="宋体"/>
                <w:b/>
                <w:bCs/>
                <w:sz w:val="24"/>
              </w:rPr>
              <w:t>服务项</w:t>
            </w:r>
          </w:p>
        </w:tc>
        <w:tc>
          <w:tcPr>
            <w:tcW w:w="1324" w:type="pct"/>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b/>
                <w:bCs/>
                <w:sz w:val="24"/>
              </w:rPr>
            </w:pPr>
            <w:r>
              <w:rPr>
                <w:rFonts w:hint="eastAsia" w:ascii="宋体" w:hAnsi="宋体" w:cs="宋体"/>
                <w:b/>
                <w:bCs/>
                <w:sz w:val="24"/>
              </w:rPr>
              <w:t>服务内容</w:t>
            </w:r>
          </w:p>
        </w:tc>
        <w:tc>
          <w:tcPr>
            <w:tcW w:w="2792" w:type="pct"/>
            <w:tcBorders>
              <w:top w:val="single" w:color="auto" w:sz="4" w:space="0"/>
              <w:left w:val="nil"/>
              <w:bottom w:val="single" w:color="auto" w:sz="4" w:space="0"/>
              <w:right w:val="single" w:color="auto" w:sz="4" w:space="0"/>
            </w:tcBorders>
            <w:shd w:val="clear" w:color="auto" w:fill="D9D9D9"/>
            <w:vAlign w:val="center"/>
          </w:tcPr>
          <w:p>
            <w:pPr>
              <w:rPr>
                <w:rFonts w:ascii="宋体" w:hAnsi="宋体" w:cs="宋体"/>
                <w:b/>
                <w:bCs/>
                <w:sz w:val="24"/>
              </w:rPr>
            </w:pPr>
            <w:r>
              <w:rPr>
                <w:rFonts w:hint="eastAsia" w:ascii="宋体" w:hAnsi="宋体" w:cs="宋体"/>
                <w:b/>
                <w:bCs/>
                <w:sz w:val="24"/>
              </w:rPr>
              <w:t>服务项说明</w:t>
            </w:r>
          </w:p>
        </w:tc>
      </w:tr>
      <w:tr>
        <w:tblPrEx>
          <w:tblCellMar>
            <w:top w:w="0" w:type="dxa"/>
            <w:left w:w="108" w:type="dxa"/>
            <w:bottom w:w="0" w:type="dxa"/>
            <w:right w:w="108" w:type="dxa"/>
          </w:tblCellMar>
        </w:tblPrEx>
        <w:trPr>
          <w:trHeight w:val="285" w:hRule="atLeast"/>
          <w:jc w:val="center"/>
        </w:trPr>
        <w:tc>
          <w:tcPr>
            <w:tcW w:w="883" w:type="pct"/>
            <w:vMerge w:val="restart"/>
            <w:tcBorders>
              <w:top w:val="nil"/>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服务获取</w:t>
            </w: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线上受理</w:t>
            </w:r>
          </w:p>
        </w:tc>
        <w:tc>
          <w:tcPr>
            <w:tcW w:w="2792" w:type="pct"/>
            <w:tcBorders>
              <w:top w:val="nil"/>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提供可供登陆的线上提报解决问题的平台。</w:t>
            </w:r>
          </w:p>
        </w:tc>
      </w:tr>
      <w:tr>
        <w:tblPrEx>
          <w:tblCellMar>
            <w:top w:w="0" w:type="dxa"/>
            <w:left w:w="108" w:type="dxa"/>
            <w:bottom w:w="0" w:type="dxa"/>
            <w:right w:w="108" w:type="dxa"/>
          </w:tblCellMar>
        </w:tblPrEx>
        <w:trPr>
          <w:trHeight w:val="285" w:hRule="atLeast"/>
          <w:jc w:val="center"/>
        </w:trPr>
        <w:tc>
          <w:tcPr>
            <w:tcW w:w="88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sz w:val="24"/>
              </w:rPr>
            </w:pP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电话服务</w:t>
            </w:r>
          </w:p>
        </w:tc>
        <w:tc>
          <w:tcPr>
            <w:tcW w:w="2792" w:type="pct"/>
            <w:tcBorders>
              <w:top w:val="nil"/>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提供7*24小时电话支持指导服务电话。</w:t>
            </w:r>
          </w:p>
        </w:tc>
      </w:tr>
      <w:tr>
        <w:tblPrEx>
          <w:tblCellMar>
            <w:top w:w="0" w:type="dxa"/>
            <w:left w:w="108" w:type="dxa"/>
            <w:bottom w:w="0" w:type="dxa"/>
            <w:right w:w="108" w:type="dxa"/>
          </w:tblCellMar>
        </w:tblPrEx>
        <w:trPr>
          <w:trHeight w:val="285" w:hRule="atLeast"/>
          <w:jc w:val="center"/>
        </w:trPr>
        <w:tc>
          <w:tcPr>
            <w:tcW w:w="88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sz w:val="24"/>
              </w:rPr>
            </w:pP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Email服务</w:t>
            </w:r>
          </w:p>
        </w:tc>
        <w:tc>
          <w:tcPr>
            <w:tcW w:w="2792" w:type="pct"/>
            <w:tcBorders>
              <w:top w:val="nil"/>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提供电子邮件地址，可供问题解答、协助安装、产品参考等。</w:t>
            </w:r>
          </w:p>
        </w:tc>
      </w:tr>
      <w:tr>
        <w:tblPrEx>
          <w:tblCellMar>
            <w:top w:w="0" w:type="dxa"/>
            <w:left w:w="108" w:type="dxa"/>
            <w:bottom w:w="0" w:type="dxa"/>
            <w:right w:w="108" w:type="dxa"/>
          </w:tblCellMar>
        </w:tblPrEx>
        <w:trPr>
          <w:trHeight w:val="285" w:hRule="atLeast"/>
          <w:jc w:val="center"/>
        </w:trPr>
        <w:tc>
          <w:tcPr>
            <w:tcW w:w="883" w:type="pct"/>
            <w:tcBorders>
              <w:top w:val="nil"/>
              <w:left w:val="single" w:color="auto" w:sz="4" w:space="0"/>
              <w:bottom w:val="single" w:color="auto" w:sz="4" w:space="0"/>
              <w:right w:val="single" w:color="auto" w:sz="4" w:space="0"/>
            </w:tcBorders>
            <w:vAlign w:val="center"/>
          </w:tcPr>
          <w:p>
            <w:pPr>
              <w:rPr>
                <w:rFonts w:ascii="宋体" w:hAnsi="宋体" w:cs="宋体"/>
                <w:b/>
                <w:bCs/>
                <w:sz w:val="24"/>
              </w:rPr>
            </w:pPr>
            <w:r>
              <w:rPr>
                <w:b/>
                <w:sz w:val="24"/>
              </w:rPr>
              <w:t>BUG</w:t>
            </w:r>
            <w:r>
              <w:rPr>
                <w:rFonts w:hint="eastAsia"/>
                <w:b/>
                <w:sz w:val="24"/>
              </w:rPr>
              <w:t>修复</w:t>
            </w: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sz w:val="24"/>
              </w:rPr>
              <w:t>BUG</w:t>
            </w:r>
            <w:r>
              <w:rPr>
                <w:rFonts w:hint="eastAsia"/>
                <w:sz w:val="24"/>
              </w:rPr>
              <w:t>修复</w:t>
            </w:r>
          </w:p>
        </w:tc>
        <w:tc>
          <w:tcPr>
            <w:tcW w:w="2792" w:type="pct"/>
            <w:tcBorders>
              <w:top w:val="nil"/>
              <w:left w:val="nil"/>
              <w:bottom w:val="single" w:color="auto" w:sz="4" w:space="0"/>
              <w:right w:val="single" w:color="auto" w:sz="4" w:space="0"/>
            </w:tcBorders>
            <w:vAlign w:val="bottom"/>
          </w:tcPr>
          <w:p>
            <w:pPr>
              <w:rPr>
                <w:rFonts w:ascii="宋体" w:hAnsi="宋体" w:cs="宋体"/>
                <w:sz w:val="24"/>
              </w:rPr>
            </w:pPr>
            <w:r>
              <w:rPr>
                <w:rFonts w:hint="eastAsia"/>
                <w:sz w:val="24"/>
              </w:rPr>
              <w:t>针对服务商提供的应用系统中存在的</w:t>
            </w:r>
            <w:r>
              <w:rPr>
                <w:sz w:val="24"/>
              </w:rPr>
              <w:t>BUG</w:t>
            </w:r>
            <w:r>
              <w:rPr>
                <w:rFonts w:hint="eastAsia"/>
                <w:sz w:val="24"/>
              </w:rPr>
              <w:t>，持续提供修正与消缺服务，并提供修复</w:t>
            </w:r>
            <w:r>
              <w:rPr>
                <w:sz w:val="24"/>
              </w:rPr>
              <w:t>BUG</w:t>
            </w:r>
            <w:r>
              <w:rPr>
                <w:rFonts w:hint="eastAsia"/>
                <w:sz w:val="24"/>
              </w:rPr>
              <w:t>的必要补丁版本的升级服务。</w:t>
            </w:r>
          </w:p>
        </w:tc>
      </w:tr>
      <w:tr>
        <w:tblPrEx>
          <w:tblCellMar>
            <w:top w:w="0" w:type="dxa"/>
            <w:left w:w="108" w:type="dxa"/>
            <w:bottom w:w="0" w:type="dxa"/>
            <w:right w:w="108" w:type="dxa"/>
          </w:tblCellMar>
        </w:tblPrEx>
        <w:trPr>
          <w:trHeight w:val="285" w:hRule="atLeast"/>
          <w:jc w:val="center"/>
        </w:trPr>
        <w:tc>
          <w:tcPr>
            <w:tcW w:w="883" w:type="pct"/>
            <w:tcBorders>
              <w:top w:val="nil"/>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b/>
                <w:sz w:val="24"/>
              </w:rPr>
              <w:t>故障处理</w:t>
            </w: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rFonts w:hint="eastAsia"/>
                <w:sz w:val="24"/>
              </w:rPr>
              <w:t>故障处理</w:t>
            </w:r>
          </w:p>
        </w:tc>
        <w:tc>
          <w:tcPr>
            <w:tcW w:w="2792" w:type="pct"/>
            <w:tcBorders>
              <w:top w:val="nil"/>
              <w:left w:val="nil"/>
              <w:bottom w:val="single" w:color="auto" w:sz="4" w:space="0"/>
              <w:right w:val="single" w:color="auto" w:sz="4" w:space="0"/>
            </w:tcBorders>
            <w:vAlign w:val="bottom"/>
          </w:tcPr>
          <w:p>
            <w:pPr>
              <w:rPr>
                <w:sz w:val="24"/>
              </w:rPr>
            </w:pPr>
            <w:r>
              <w:rPr>
                <w:rFonts w:hint="eastAsia"/>
                <w:sz w:val="24"/>
              </w:rPr>
              <w:t>系统上线运行时，当出现一些突发性情况而引起业务的中断时，为了保证系统的正常运行，对该故障进行处理，包括：</w:t>
            </w:r>
          </w:p>
          <w:p>
            <w:pPr>
              <w:ind w:left="34"/>
              <w:rPr>
                <w:sz w:val="24"/>
              </w:rPr>
            </w:pPr>
            <w:r>
              <w:rPr>
                <w:rFonts w:hint="eastAsia"/>
                <w:sz w:val="24"/>
              </w:rPr>
              <w:t>1、非计划掉电导致系统故障，我院排除故障后，配合系统恢复；</w:t>
            </w:r>
          </w:p>
          <w:p>
            <w:pPr>
              <w:ind w:left="34"/>
              <w:rPr>
                <w:sz w:val="24"/>
              </w:rPr>
            </w:pPr>
            <w:r>
              <w:rPr>
                <w:sz w:val="24"/>
              </w:rPr>
              <w:t>2</w:t>
            </w:r>
            <w:r>
              <w:rPr>
                <w:rFonts w:hint="eastAsia"/>
                <w:sz w:val="24"/>
              </w:rPr>
              <w:t>、系统资源不足导致系统故障，我院扩充资源后，配合学校系统恢复；</w:t>
            </w:r>
          </w:p>
          <w:p>
            <w:pPr>
              <w:ind w:left="34"/>
              <w:rPr>
                <w:sz w:val="24"/>
              </w:rPr>
            </w:pPr>
            <w:r>
              <w:rPr>
                <w:sz w:val="24"/>
              </w:rPr>
              <w:t>3</w:t>
            </w:r>
            <w:r>
              <w:rPr>
                <w:rFonts w:hint="eastAsia"/>
                <w:sz w:val="24"/>
              </w:rPr>
              <w:t>、硬件故障，我院排除故障并将数据还原后，配合学校系统恢复。</w:t>
            </w:r>
          </w:p>
          <w:p>
            <w:pPr>
              <w:rPr>
                <w:sz w:val="24"/>
              </w:rPr>
            </w:pPr>
            <w:r>
              <w:rPr>
                <w:rFonts w:hint="eastAsia"/>
                <w:sz w:val="24"/>
              </w:rPr>
              <w:t>如出现系统运行环境变更（如：系统文件丢失、系统权限变化、</w:t>
            </w:r>
            <w:r>
              <w:rPr>
                <w:sz w:val="24"/>
              </w:rPr>
              <w:t>IP</w:t>
            </w:r>
            <w:r>
              <w:rPr>
                <w:rFonts w:hint="eastAsia"/>
                <w:sz w:val="24"/>
              </w:rPr>
              <w:t>变更、操作系统无法启动、数据库故障等），则不在承诺系统恢复的服务范围内。</w:t>
            </w:r>
          </w:p>
          <w:p>
            <w:pPr>
              <w:rPr>
                <w:rFonts w:ascii="宋体" w:hAnsi="宋体" w:cs="宋体"/>
                <w:color w:val="000000"/>
                <w:sz w:val="24"/>
              </w:rPr>
            </w:pPr>
            <w:r>
              <w:rPr>
                <w:rFonts w:hint="eastAsia"/>
                <w:color w:val="000000"/>
                <w:sz w:val="24"/>
              </w:rPr>
              <w:t>如因第三方软件故障（包含</w:t>
            </w:r>
            <w:r>
              <w:rPr>
                <w:color w:val="000000"/>
                <w:sz w:val="24"/>
              </w:rPr>
              <w:t>websphere</w:t>
            </w:r>
            <w:r>
              <w:rPr>
                <w:rFonts w:hint="eastAsia"/>
                <w:color w:val="000000"/>
                <w:sz w:val="24"/>
              </w:rPr>
              <w:t>、</w:t>
            </w:r>
            <w:r>
              <w:rPr>
                <w:color w:val="000000"/>
                <w:sz w:val="24"/>
              </w:rPr>
              <w:t>Oracle</w:t>
            </w:r>
            <w:r>
              <w:rPr>
                <w:rFonts w:hint="eastAsia"/>
                <w:color w:val="000000"/>
                <w:sz w:val="24"/>
              </w:rPr>
              <w:t>数据库、</w:t>
            </w:r>
            <w:r>
              <w:rPr>
                <w:color w:val="000000"/>
                <w:sz w:val="24"/>
              </w:rPr>
              <w:t>https</w:t>
            </w:r>
            <w:r>
              <w:rPr>
                <w:rFonts w:hint="eastAsia"/>
                <w:color w:val="000000"/>
                <w:sz w:val="24"/>
              </w:rPr>
              <w:t>证书等），配合我院提供有偿的修复服务。</w:t>
            </w:r>
          </w:p>
        </w:tc>
      </w:tr>
      <w:tr>
        <w:tblPrEx>
          <w:tblCellMar>
            <w:top w:w="0" w:type="dxa"/>
            <w:left w:w="108" w:type="dxa"/>
            <w:bottom w:w="0" w:type="dxa"/>
            <w:right w:w="108" w:type="dxa"/>
          </w:tblCellMar>
        </w:tblPrEx>
        <w:trPr>
          <w:trHeight w:val="285" w:hRule="atLeast"/>
          <w:jc w:val="center"/>
        </w:trPr>
        <w:tc>
          <w:tcPr>
            <w:tcW w:w="883" w:type="pct"/>
            <w:tcBorders>
              <w:top w:val="nil"/>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b/>
                <w:sz w:val="24"/>
              </w:rPr>
              <w:t>运行支持</w:t>
            </w:r>
          </w:p>
        </w:tc>
        <w:tc>
          <w:tcPr>
            <w:tcW w:w="1324" w:type="pct"/>
            <w:tcBorders>
              <w:top w:val="nil"/>
              <w:left w:val="nil"/>
              <w:bottom w:val="single" w:color="auto" w:sz="4" w:space="0"/>
              <w:right w:val="single" w:color="auto" w:sz="4" w:space="0"/>
            </w:tcBorders>
            <w:vAlign w:val="center"/>
          </w:tcPr>
          <w:p>
            <w:pPr>
              <w:rPr>
                <w:rFonts w:ascii="宋体" w:hAnsi="宋体" w:cs="宋体"/>
                <w:sz w:val="24"/>
              </w:rPr>
            </w:pPr>
            <w:r>
              <w:rPr>
                <w:rFonts w:hint="eastAsia"/>
                <w:sz w:val="24"/>
              </w:rPr>
              <w:t>运行支持</w:t>
            </w:r>
          </w:p>
        </w:tc>
        <w:tc>
          <w:tcPr>
            <w:tcW w:w="2792" w:type="pct"/>
            <w:tcBorders>
              <w:top w:val="nil"/>
              <w:left w:val="nil"/>
              <w:bottom w:val="single" w:color="auto" w:sz="4" w:space="0"/>
              <w:right w:val="single" w:color="auto" w:sz="4" w:space="0"/>
            </w:tcBorders>
            <w:vAlign w:val="bottom"/>
          </w:tcPr>
          <w:p>
            <w:pPr>
              <w:rPr>
                <w:sz w:val="24"/>
              </w:rPr>
            </w:pPr>
            <w:r>
              <w:rPr>
                <w:rFonts w:hint="eastAsia"/>
                <w:sz w:val="24"/>
              </w:rPr>
              <w:t>对系统运行过程中系统管理员及业务管理员的问题提供解答和问题解决跟踪。</w:t>
            </w:r>
          </w:p>
          <w:p>
            <w:pPr>
              <w:rPr>
                <w:sz w:val="24"/>
              </w:rPr>
            </w:pPr>
            <w:r>
              <w:rPr>
                <w:rFonts w:hint="eastAsia"/>
                <w:sz w:val="24"/>
              </w:rPr>
              <w:t>1、系统环境调整后，环境文档实时更新；</w:t>
            </w:r>
          </w:p>
          <w:p>
            <w:pPr>
              <w:rPr>
                <w:sz w:val="24"/>
              </w:rPr>
            </w:pPr>
            <w:r>
              <w:rPr>
                <w:sz w:val="24"/>
              </w:rPr>
              <w:t>2</w:t>
            </w:r>
            <w:r>
              <w:rPr>
                <w:rFonts w:hint="eastAsia"/>
                <w:sz w:val="24"/>
              </w:rPr>
              <w:t>、系统使用过程中问题解答；</w:t>
            </w:r>
          </w:p>
          <w:p>
            <w:pPr>
              <w:rPr>
                <w:sz w:val="24"/>
              </w:rPr>
            </w:pPr>
            <w:r>
              <w:rPr>
                <w:sz w:val="24"/>
              </w:rPr>
              <w:t>3</w:t>
            </w:r>
            <w:r>
              <w:rPr>
                <w:rFonts w:hint="eastAsia"/>
                <w:sz w:val="24"/>
              </w:rPr>
              <w:t>、系统服务临时启停；</w:t>
            </w:r>
          </w:p>
          <w:p>
            <w:pPr>
              <w:rPr>
                <w:sz w:val="24"/>
              </w:rPr>
            </w:pPr>
            <w:r>
              <w:rPr>
                <w:sz w:val="24"/>
              </w:rPr>
              <w:t>4</w:t>
            </w:r>
            <w:r>
              <w:rPr>
                <w:rFonts w:hint="eastAsia"/>
                <w:sz w:val="24"/>
              </w:rPr>
              <w:t>、系统运行过程中访问报错问题处理；</w:t>
            </w:r>
          </w:p>
          <w:p>
            <w:pPr>
              <w:rPr>
                <w:rFonts w:ascii="宋体" w:hAnsi="宋体" w:cs="宋体"/>
                <w:sz w:val="24"/>
              </w:rPr>
            </w:pPr>
            <w:r>
              <w:rPr>
                <w:rFonts w:hint="eastAsia"/>
                <w:sz w:val="24"/>
              </w:rPr>
              <w:t>系统使用过程中数据错误问题处理。</w:t>
            </w:r>
          </w:p>
        </w:tc>
      </w:tr>
      <w:tr>
        <w:tblPrEx>
          <w:tblCellMar>
            <w:top w:w="0" w:type="dxa"/>
            <w:left w:w="108" w:type="dxa"/>
            <w:bottom w:w="0" w:type="dxa"/>
            <w:right w:w="108" w:type="dxa"/>
          </w:tblCellMar>
        </w:tblPrEx>
        <w:trPr>
          <w:trHeight w:val="720" w:hRule="atLeast"/>
          <w:jc w:val="center"/>
        </w:trPr>
        <w:tc>
          <w:tcPr>
            <w:tcW w:w="883" w:type="pct"/>
            <w:vMerge w:val="restart"/>
            <w:tcBorders>
              <w:top w:val="single" w:color="auto" w:sz="4" w:space="0"/>
              <w:left w:val="single" w:color="auto" w:sz="4" w:space="0"/>
              <w:right w:val="single" w:color="auto" w:sz="4" w:space="0"/>
            </w:tcBorders>
            <w:vAlign w:val="center"/>
          </w:tcPr>
          <w:p>
            <w:pPr>
              <w:rPr>
                <w:rFonts w:ascii="宋体" w:hAnsi="宋体" w:cs="宋体"/>
                <w:b/>
                <w:bCs/>
                <w:color w:val="000000"/>
                <w:sz w:val="24"/>
              </w:rPr>
            </w:pPr>
            <w:r>
              <w:rPr>
                <w:rFonts w:hint="eastAsia" w:ascii="宋体" w:hAnsi="宋体" w:cs="宋体"/>
                <w:b/>
                <w:bCs/>
                <w:color w:val="000000"/>
                <w:sz w:val="24"/>
              </w:rPr>
              <w:t>现场技术支持</w:t>
            </w:r>
          </w:p>
        </w:tc>
        <w:tc>
          <w:tcPr>
            <w:tcW w:w="1324"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重大校园活动</w:t>
            </w:r>
          </w:p>
        </w:tc>
        <w:tc>
          <w:tcPr>
            <w:tcW w:w="2792" w:type="pct"/>
            <w:tcBorders>
              <w:top w:val="single" w:color="auto" w:sz="4" w:space="0"/>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在我院有重大校园活动时（例如迎新、离校等），服务商需提供2名及以上技术人员进行现场技术支持与保障。</w:t>
            </w:r>
          </w:p>
        </w:tc>
      </w:tr>
      <w:tr>
        <w:tblPrEx>
          <w:tblCellMar>
            <w:top w:w="0" w:type="dxa"/>
            <w:left w:w="108" w:type="dxa"/>
            <w:bottom w:w="0" w:type="dxa"/>
            <w:right w:w="108" w:type="dxa"/>
          </w:tblCellMar>
        </w:tblPrEx>
        <w:trPr>
          <w:trHeight w:val="720" w:hRule="atLeast"/>
          <w:jc w:val="center"/>
        </w:trPr>
        <w:tc>
          <w:tcPr>
            <w:tcW w:w="883" w:type="pct"/>
            <w:vMerge w:val="continue"/>
            <w:tcBorders>
              <w:left w:val="single" w:color="auto" w:sz="4" w:space="0"/>
              <w:right w:val="single" w:color="auto" w:sz="4" w:space="0"/>
            </w:tcBorders>
            <w:vAlign w:val="center"/>
          </w:tcPr>
          <w:p>
            <w:pPr>
              <w:rPr>
                <w:rFonts w:ascii="宋体" w:hAnsi="宋体" w:cs="宋体"/>
                <w:b/>
                <w:bCs/>
                <w:color w:val="000000"/>
                <w:sz w:val="24"/>
              </w:rPr>
            </w:pPr>
          </w:p>
        </w:tc>
        <w:tc>
          <w:tcPr>
            <w:tcW w:w="1324" w:type="pct"/>
            <w:tcBorders>
              <w:top w:val="single" w:color="auto" w:sz="4" w:space="0"/>
              <w:left w:val="nil"/>
              <w:bottom w:val="single" w:color="auto" w:sz="4" w:space="0"/>
              <w:right w:val="single" w:color="auto" w:sz="4" w:space="0"/>
            </w:tcBorders>
            <w:vAlign w:val="center"/>
          </w:tcPr>
          <w:p>
            <w:pPr>
              <w:rPr>
                <w:sz w:val="24"/>
              </w:rPr>
            </w:pPr>
            <w:r>
              <w:rPr>
                <w:rFonts w:hint="eastAsia"/>
                <w:sz w:val="24"/>
              </w:rPr>
              <w:t>整体系统瘫痪，</w:t>
            </w:r>
            <w:r>
              <w:rPr>
                <w:sz w:val="24"/>
              </w:rPr>
              <w:t></w:t>
            </w:r>
            <w:r>
              <w:rPr>
                <w:rFonts w:hint="eastAsia"/>
                <w:sz w:val="24"/>
              </w:rPr>
              <w:t>基于系统的用户核心业务应用出现严重问题</w:t>
            </w:r>
          </w:p>
        </w:tc>
        <w:tc>
          <w:tcPr>
            <w:tcW w:w="2792" w:type="pct"/>
            <w:tcBorders>
              <w:top w:val="single" w:color="auto" w:sz="4" w:space="0"/>
              <w:left w:val="nil"/>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如</w:t>
            </w:r>
            <w:r>
              <w:rPr>
                <w:rFonts w:ascii="宋体" w:hAnsi="宋体" w:cs="宋体"/>
                <w:sz w:val="24"/>
              </w:rPr>
              <w:t>4</w:t>
            </w:r>
            <w:r>
              <w:rPr>
                <w:rFonts w:hint="eastAsia" w:ascii="宋体" w:hAnsi="宋体" w:cs="宋体"/>
                <w:sz w:val="24"/>
              </w:rPr>
              <w:t>小时内无法解决，服务商应在</w:t>
            </w:r>
            <w:r>
              <w:rPr>
                <w:rFonts w:ascii="宋体" w:hAnsi="宋体" w:cs="宋体"/>
                <w:sz w:val="24"/>
              </w:rPr>
              <w:t>8</w:t>
            </w:r>
            <w:r>
              <w:rPr>
                <w:rFonts w:hint="eastAsia" w:ascii="宋体" w:hAnsi="宋体" w:cs="宋体"/>
                <w:sz w:val="24"/>
              </w:rPr>
              <w:t>小时内派技术人员前往故障现场，提供现场技术支持</w:t>
            </w:r>
          </w:p>
        </w:tc>
      </w:tr>
      <w:tr>
        <w:trPr>
          <w:trHeight w:val="720" w:hRule="atLeast"/>
          <w:jc w:val="center"/>
        </w:trPr>
        <w:tc>
          <w:tcPr>
            <w:tcW w:w="883" w:type="pct"/>
            <w:vMerge w:val="continue"/>
            <w:tcBorders>
              <w:left w:val="single" w:color="auto" w:sz="4" w:space="0"/>
              <w:bottom w:val="single" w:color="auto" w:sz="4" w:space="0"/>
              <w:right w:val="single" w:color="auto" w:sz="4" w:space="0"/>
            </w:tcBorders>
            <w:vAlign w:val="center"/>
          </w:tcPr>
          <w:p>
            <w:pPr>
              <w:rPr>
                <w:rFonts w:ascii="宋体" w:hAnsi="宋体" w:cs="宋体"/>
                <w:b/>
                <w:bCs/>
                <w:color w:val="000000"/>
                <w:sz w:val="24"/>
              </w:rPr>
            </w:pPr>
          </w:p>
        </w:tc>
        <w:tc>
          <w:tcPr>
            <w:tcW w:w="1324"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系统整体性能下降或不稳定，严重影响用户核心应用系统</w:t>
            </w:r>
          </w:p>
        </w:tc>
        <w:tc>
          <w:tcPr>
            <w:tcW w:w="2792" w:type="pct"/>
            <w:tcBorders>
              <w:top w:val="single" w:color="auto" w:sz="4" w:space="0"/>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如</w:t>
            </w:r>
            <w:r>
              <w:rPr>
                <w:rFonts w:ascii="宋体" w:hAnsi="宋体" w:cs="宋体"/>
                <w:sz w:val="24"/>
              </w:rPr>
              <w:t>8</w:t>
            </w:r>
            <w:r>
              <w:rPr>
                <w:rFonts w:hint="eastAsia" w:ascii="宋体" w:hAnsi="宋体" w:cs="宋体"/>
                <w:sz w:val="24"/>
              </w:rPr>
              <w:t>小时内无法解决，服务商应在</w:t>
            </w:r>
            <w:r>
              <w:rPr>
                <w:rFonts w:ascii="宋体" w:hAnsi="宋体" w:cs="宋体"/>
                <w:sz w:val="24"/>
              </w:rPr>
              <w:t>8</w:t>
            </w:r>
            <w:r>
              <w:rPr>
                <w:rFonts w:hint="eastAsia" w:ascii="宋体" w:hAnsi="宋体" w:cs="宋体"/>
                <w:sz w:val="24"/>
              </w:rPr>
              <w:t>小时内派工程人员前往故障现场，提供现场技术支持</w:t>
            </w:r>
          </w:p>
        </w:tc>
      </w:tr>
      <w:tr>
        <w:tblPrEx>
          <w:tblCellMar>
            <w:top w:w="0" w:type="dxa"/>
            <w:left w:w="108" w:type="dxa"/>
            <w:bottom w:w="0" w:type="dxa"/>
            <w:right w:w="108" w:type="dxa"/>
          </w:tblCellMar>
        </w:tblPrEx>
        <w:trPr>
          <w:trHeight w:val="720" w:hRule="atLeast"/>
          <w:jc w:val="center"/>
        </w:trPr>
        <w:tc>
          <w:tcPr>
            <w:tcW w:w="88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rPr>
            </w:pPr>
            <w:r>
              <w:rPr>
                <w:rFonts w:hint="eastAsia" w:ascii="宋体" w:hAnsi="宋体" w:cs="宋体"/>
                <w:b/>
                <w:bCs/>
                <w:color w:val="000000"/>
                <w:sz w:val="24"/>
              </w:rPr>
              <w:t>系统培训</w:t>
            </w:r>
          </w:p>
        </w:tc>
        <w:tc>
          <w:tcPr>
            <w:tcW w:w="1324"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培训支持</w:t>
            </w:r>
          </w:p>
        </w:tc>
        <w:tc>
          <w:tcPr>
            <w:tcW w:w="2792" w:type="pct"/>
            <w:tcBorders>
              <w:top w:val="single" w:color="auto" w:sz="4" w:space="0"/>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服务商需对我院需要使用系统的相关人员进行使用指导和培训。</w:t>
            </w:r>
          </w:p>
        </w:tc>
      </w:tr>
      <w:tr>
        <w:tblPrEx>
          <w:tblCellMar>
            <w:top w:w="0" w:type="dxa"/>
            <w:left w:w="108" w:type="dxa"/>
            <w:bottom w:w="0" w:type="dxa"/>
            <w:right w:w="108" w:type="dxa"/>
          </w:tblCellMar>
        </w:tblPrEx>
        <w:trPr>
          <w:trHeight w:val="720" w:hRule="atLeast"/>
          <w:jc w:val="center"/>
        </w:trPr>
        <w:tc>
          <w:tcPr>
            <w:tcW w:w="88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rPr>
            </w:pPr>
            <w:bookmarkStart w:id="0" w:name="_GoBack"/>
            <w:bookmarkEnd w:id="0"/>
            <w:r>
              <w:rPr>
                <w:rFonts w:hint="eastAsia" w:ascii="宋体" w:hAnsi="宋体" w:cs="宋体"/>
                <w:b/>
                <w:bCs/>
                <w:color w:val="000000"/>
                <w:sz w:val="24"/>
              </w:rPr>
              <w:t>服务团队说明</w:t>
            </w:r>
          </w:p>
        </w:tc>
        <w:tc>
          <w:tcPr>
            <w:tcW w:w="1324" w:type="pct"/>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提供服务团队说明文档</w:t>
            </w:r>
          </w:p>
        </w:tc>
        <w:tc>
          <w:tcPr>
            <w:tcW w:w="2792" w:type="pct"/>
            <w:tcBorders>
              <w:top w:val="single" w:color="auto" w:sz="4" w:space="0"/>
              <w:left w:val="nil"/>
              <w:bottom w:val="single" w:color="auto" w:sz="4" w:space="0"/>
              <w:right w:val="single" w:color="auto" w:sz="4" w:space="0"/>
            </w:tcBorders>
            <w:vAlign w:val="bottom"/>
          </w:tcPr>
          <w:p>
            <w:pPr>
              <w:rPr>
                <w:rFonts w:ascii="宋体" w:hAnsi="宋体" w:cs="宋体"/>
                <w:sz w:val="24"/>
              </w:rPr>
            </w:pPr>
            <w:r>
              <w:rPr>
                <w:rFonts w:hint="eastAsia" w:ascii="宋体" w:hAnsi="宋体" w:cs="宋体"/>
                <w:sz w:val="24"/>
              </w:rPr>
              <w:t>提供本项目服务团队组织说明，包含项目成员、职责、联系方式。</w:t>
            </w:r>
          </w:p>
        </w:tc>
      </w:tr>
    </w:tbl>
    <w:p>
      <w:pPr>
        <w:ind w:firstLine="562" w:firstLineChars="200"/>
        <w:rPr>
          <w:b/>
          <w:sz w:val="28"/>
          <w:szCs w:val="28"/>
        </w:rPr>
      </w:pPr>
      <w:r>
        <w:rPr>
          <w:rFonts w:hint="eastAsia"/>
          <w:b/>
          <w:sz w:val="28"/>
          <w:szCs w:val="28"/>
        </w:rPr>
        <w:t>五、验收方式</w:t>
      </w:r>
    </w:p>
    <w:p>
      <w:pPr>
        <w:ind w:firstLine="560" w:firstLineChars="200"/>
        <w:rPr>
          <w:sz w:val="28"/>
          <w:szCs w:val="28"/>
        </w:rPr>
      </w:pPr>
      <w:r>
        <w:rPr>
          <w:rFonts w:hint="eastAsia"/>
          <w:sz w:val="28"/>
          <w:szCs w:val="28"/>
        </w:rPr>
        <w:t>验收由学院项目办组织验收小组进行验收，服务方在整个服务过程中均要有文档记录，便于问题跟踪和分析，并在验收时提供以下服务报告：</w:t>
      </w:r>
    </w:p>
    <w:p>
      <w:pPr>
        <w:ind w:firstLine="560" w:firstLineChars="200"/>
        <w:rPr>
          <w:sz w:val="28"/>
          <w:szCs w:val="28"/>
        </w:rPr>
      </w:pPr>
      <w:r>
        <w:rPr>
          <w:rFonts w:hint="eastAsia"/>
          <w:sz w:val="28"/>
          <w:szCs w:val="28"/>
        </w:rPr>
        <w:t>（1）服务计划</w:t>
      </w:r>
    </w:p>
    <w:p>
      <w:pPr>
        <w:ind w:firstLine="560" w:firstLineChars="200"/>
        <w:rPr>
          <w:sz w:val="28"/>
          <w:szCs w:val="28"/>
        </w:rPr>
      </w:pPr>
      <w:r>
        <w:rPr>
          <w:rFonts w:hint="eastAsia"/>
          <w:sz w:val="28"/>
          <w:szCs w:val="28"/>
        </w:rPr>
        <w:t>（2）问题处理报告</w:t>
      </w:r>
    </w:p>
    <w:p>
      <w:pPr>
        <w:ind w:firstLine="560" w:firstLineChars="200"/>
        <w:rPr>
          <w:sz w:val="28"/>
          <w:szCs w:val="28"/>
        </w:rPr>
      </w:pPr>
      <w:r>
        <w:rPr>
          <w:rFonts w:hint="eastAsia"/>
          <w:sz w:val="28"/>
          <w:szCs w:val="28"/>
        </w:rPr>
        <w:t>（3）定期巡检报告</w:t>
      </w:r>
    </w:p>
    <w:p>
      <w:pPr>
        <w:ind w:firstLine="560" w:firstLineChars="200"/>
        <w:rPr>
          <w:sz w:val="28"/>
          <w:szCs w:val="28"/>
        </w:rPr>
      </w:pPr>
      <w:r>
        <w:rPr>
          <w:rFonts w:hint="eastAsia"/>
          <w:sz w:val="28"/>
          <w:szCs w:val="28"/>
        </w:rPr>
        <w:t>（</w:t>
      </w:r>
      <w:r>
        <w:rPr>
          <w:sz w:val="28"/>
          <w:szCs w:val="28"/>
        </w:rPr>
        <w:t>4</w:t>
      </w:r>
      <w:r>
        <w:rPr>
          <w:rFonts w:hint="eastAsia"/>
          <w:sz w:val="28"/>
          <w:szCs w:val="28"/>
        </w:rPr>
        <w:t>）年度工作总结</w:t>
      </w:r>
    </w:p>
    <w:p>
      <w:pPr>
        <w:ind w:firstLine="562" w:firstLineChars="200"/>
        <w:rPr>
          <w:b/>
          <w:sz w:val="28"/>
          <w:szCs w:val="28"/>
        </w:rPr>
      </w:pPr>
      <w:r>
        <w:rPr>
          <w:rFonts w:hint="eastAsia"/>
          <w:b/>
          <w:sz w:val="28"/>
          <w:szCs w:val="28"/>
        </w:rPr>
        <w:t>六、付款方式</w:t>
      </w:r>
    </w:p>
    <w:p>
      <w:pPr>
        <w:ind w:firstLine="560" w:firstLineChars="200"/>
        <w:rPr>
          <w:sz w:val="28"/>
          <w:szCs w:val="28"/>
        </w:rPr>
      </w:pPr>
      <w:r>
        <w:rPr>
          <w:rFonts w:hint="eastAsia"/>
          <w:sz w:val="28"/>
          <w:szCs w:val="28"/>
        </w:rPr>
        <w:t>合同签订后支付50%，余款验收合格后支付。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M2NjYzZmMGFkMTE0YWFjOTNmNDg4ZTRjZGNlYzIifQ=="/>
  </w:docVars>
  <w:rsids>
    <w:rsidRoot w:val="00187FEC"/>
    <w:rsid w:val="0000325D"/>
    <w:rsid w:val="0003505F"/>
    <w:rsid w:val="00050099"/>
    <w:rsid w:val="0005711A"/>
    <w:rsid w:val="0007291F"/>
    <w:rsid w:val="00093525"/>
    <w:rsid w:val="00097B5A"/>
    <w:rsid w:val="000C02F6"/>
    <w:rsid w:val="000E6632"/>
    <w:rsid w:val="000F4AA2"/>
    <w:rsid w:val="0011416C"/>
    <w:rsid w:val="00115A52"/>
    <w:rsid w:val="00116A04"/>
    <w:rsid w:val="00133F14"/>
    <w:rsid w:val="00140A5C"/>
    <w:rsid w:val="0014421C"/>
    <w:rsid w:val="00147C6A"/>
    <w:rsid w:val="00154DAD"/>
    <w:rsid w:val="00184B29"/>
    <w:rsid w:val="00187FEC"/>
    <w:rsid w:val="00191A88"/>
    <w:rsid w:val="001C70FB"/>
    <w:rsid w:val="001D6A9D"/>
    <w:rsid w:val="001D7408"/>
    <w:rsid w:val="00201753"/>
    <w:rsid w:val="0023641E"/>
    <w:rsid w:val="0025340E"/>
    <w:rsid w:val="00261C01"/>
    <w:rsid w:val="002D38CC"/>
    <w:rsid w:val="002F3173"/>
    <w:rsid w:val="002F6BAA"/>
    <w:rsid w:val="00305D36"/>
    <w:rsid w:val="00316DB4"/>
    <w:rsid w:val="00323E6D"/>
    <w:rsid w:val="003373DF"/>
    <w:rsid w:val="003507CE"/>
    <w:rsid w:val="00354428"/>
    <w:rsid w:val="003B1A4F"/>
    <w:rsid w:val="003C126B"/>
    <w:rsid w:val="003E70FD"/>
    <w:rsid w:val="00432040"/>
    <w:rsid w:val="00455DEF"/>
    <w:rsid w:val="004675DF"/>
    <w:rsid w:val="004727F2"/>
    <w:rsid w:val="00494ECC"/>
    <w:rsid w:val="004B515B"/>
    <w:rsid w:val="004E1D27"/>
    <w:rsid w:val="004E3A1B"/>
    <w:rsid w:val="004E4435"/>
    <w:rsid w:val="004F5E2A"/>
    <w:rsid w:val="005026F5"/>
    <w:rsid w:val="00506B1B"/>
    <w:rsid w:val="00507053"/>
    <w:rsid w:val="00513678"/>
    <w:rsid w:val="00523423"/>
    <w:rsid w:val="005602B9"/>
    <w:rsid w:val="00563165"/>
    <w:rsid w:val="0058477A"/>
    <w:rsid w:val="0059574E"/>
    <w:rsid w:val="00596394"/>
    <w:rsid w:val="005A5AD9"/>
    <w:rsid w:val="005F454F"/>
    <w:rsid w:val="00600019"/>
    <w:rsid w:val="00612945"/>
    <w:rsid w:val="00625D2A"/>
    <w:rsid w:val="00636CC1"/>
    <w:rsid w:val="006621F6"/>
    <w:rsid w:val="006A44BD"/>
    <w:rsid w:val="006B72F8"/>
    <w:rsid w:val="006B7A37"/>
    <w:rsid w:val="007105D0"/>
    <w:rsid w:val="00720282"/>
    <w:rsid w:val="007216E1"/>
    <w:rsid w:val="00721976"/>
    <w:rsid w:val="00725323"/>
    <w:rsid w:val="007557A4"/>
    <w:rsid w:val="00770AB6"/>
    <w:rsid w:val="0078777A"/>
    <w:rsid w:val="007A51AF"/>
    <w:rsid w:val="007B7296"/>
    <w:rsid w:val="007D5EE0"/>
    <w:rsid w:val="007E671C"/>
    <w:rsid w:val="007E7616"/>
    <w:rsid w:val="007F3156"/>
    <w:rsid w:val="00814CE3"/>
    <w:rsid w:val="0083174A"/>
    <w:rsid w:val="008347B0"/>
    <w:rsid w:val="00836ACE"/>
    <w:rsid w:val="00853195"/>
    <w:rsid w:val="00877D88"/>
    <w:rsid w:val="008857E4"/>
    <w:rsid w:val="00894E6F"/>
    <w:rsid w:val="00895C62"/>
    <w:rsid w:val="008A00E2"/>
    <w:rsid w:val="008A48BB"/>
    <w:rsid w:val="008C5013"/>
    <w:rsid w:val="00904A54"/>
    <w:rsid w:val="00957F47"/>
    <w:rsid w:val="009652FE"/>
    <w:rsid w:val="00980809"/>
    <w:rsid w:val="00987DE7"/>
    <w:rsid w:val="009A2175"/>
    <w:rsid w:val="009D4E59"/>
    <w:rsid w:val="009F08CF"/>
    <w:rsid w:val="00A10FF1"/>
    <w:rsid w:val="00A23640"/>
    <w:rsid w:val="00A243F9"/>
    <w:rsid w:val="00A76431"/>
    <w:rsid w:val="00AC10C5"/>
    <w:rsid w:val="00AD4B9D"/>
    <w:rsid w:val="00AD56C4"/>
    <w:rsid w:val="00AF2B2C"/>
    <w:rsid w:val="00B21018"/>
    <w:rsid w:val="00B32AB4"/>
    <w:rsid w:val="00B4066D"/>
    <w:rsid w:val="00B53E4A"/>
    <w:rsid w:val="00B6606A"/>
    <w:rsid w:val="00B74C7B"/>
    <w:rsid w:val="00BB77B0"/>
    <w:rsid w:val="00BE1D59"/>
    <w:rsid w:val="00BE1DE1"/>
    <w:rsid w:val="00CB3494"/>
    <w:rsid w:val="00CC628A"/>
    <w:rsid w:val="00D111B9"/>
    <w:rsid w:val="00D141DD"/>
    <w:rsid w:val="00D44754"/>
    <w:rsid w:val="00D60BAF"/>
    <w:rsid w:val="00D6566B"/>
    <w:rsid w:val="00DC2A1F"/>
    <w:rsid w:val="00E351E6"/>
    <w:rsid w:val="00E82C71"/>
    <w:rsid w:val="00E86C8A"/>
    <w:rsid w:val="00E967BE"/>
    <w:rsid w:val="00EC1D3E"/>
    <w:rsid w:val="00EF0710"/>
    <w:rsid w:val="00F049EC"/>
    <w:rsid w:val="00F05FEC"/>
    <w:rsid w:val="00F345B5"/>
    <w:rsid w:val="00F514E1"/>
    <w:rsid w:val="00F53260"/>
    <w:rsid w:val="00F55A38"/>
    <w:rsid w:val="00FA5B33"/>
    <w:rsid w:val="00FD1493"/>
    <w:rsid w:val="00FD797C"/>
    <w:rsid w:val="2F6973FB"/>
    <w:rsid w:val="5F010F3B"/>
    <w:rsid w:val="7084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1309</Words>
  <Characters>1365</Characters>
  <Lines>10</Lines>
  <Paragraphs>2</Paragraphs>
  <TotalTime>173</TotalTime>
  <ScaleCrop>false</ScaleCrop>
  <LinksUpToDate>false</LinksUpToDate>
  <CharactersWithSpaces>1365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2020-01-06T02:43:00Z</dcterms:created>
  <dc:creator>任维</dc:creator>
  <cp:lastModifiedBy>liwei2088</cp:lastModifiedBy>
  <cp:lastPrinted>2021-12-10T05:12:00Z</cp:lastPrinted>
  <dcterms:modified xsi:type="dcterms:W3CDTF">2023-02-14T04:55:15Z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0CA8B2671FDE459DB657D12C5C2AB2CF</vt:lpwstr>
  </property>
</Properties>
</file>