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《202</w:t>
      </w:r>
      <w:r>
        <w:rPr>
          <w:rFonts w:hint="eastAsia" w:ascii="方正小标宋简体" w:hAnsi="方正小标宋简体" w:eastAsia="方正小标宋简体" w:cs="方正小标宋简体"/>
          <w:bCs/>
          <w:sz w:val="36"/>
          <w:szCs w:val="36"/>
          <w:lang w:val="en-US" w:eastAsia="zh-CN"/>
        </w:rPr>
        <w:t>3</w:t>
      </w:r>
      <w:r>
        <w:rPr>
          <w:rFonts w:hint="eastAsia" w:ascii="方正小标宋简体" w:hAnsi="方正小标宋简体" w:eastAsia="方正小标宋简体" w:cs="方正小标宋简体"/>
          <w:bCs/>
          <w:sz w:val="36"/>
          <w:szCs w:val="36"/>
        </w:rPr>
        <w:t>年数字化校园平台维护费》采购需求</w:t>
      </w:r>
    </w:p>
    <w:p>
      <w:pPr>
        <w:ind w:firstLine="562" w:firstLineChars="200"/>
        <w:rPr>
          <w:b/>
          <w:sz w:val="28"/>
          <w:szCs w:val="28"/>
        </w:rPr>
      </w:pPr>
      <w:r>
        <w:rPr>
          <w:rFonts w:hint="eastAsia"/>
          <w:b/>
          <w:sz w:val="28"/>
          <w:szCs w:val="28"/>
        </w:rPr>
        <w:t>一、项目概况</w:t>
      </w:r>
    </w:p>
    <w:p>
      <w:pPr>
        <w:ind w:firstLine="560" w:firstLineChars="200"/>
        <w:rPr>
          <w:sz w:val="28"/>
          <w:szCs w:val="28"/>
        </w:rPr>
      </w:pPr>
      <w:r>
        <w:rPr>
          <w:rFonts w:hint="eastAsia"/>
          <w:sz w:val="28"/>
          <w:szCs w:val="28"/>
        </w:rPr>
        <w:t>1、项目名称：202</w:t>
      </w:r>
      <w:r>
        <w:rPr>
          <w:rFonts w:hint="eastAsia"/>
          <w:sz w:val="28"/>
          <w:szCs w:val="28"/>
          <w:lang w:val="en-US" w:eastAsia="zh-CN"/>
        </w:rPr>
        <w:t>3</w:t>
      </w:r>
      <w:r>
        <w:rPr>
          <w:rFonts w:hint="eastAsia"/>
          <w:sz w:val="28"/>
          <w:szCs w:val="28"/>
        </w:rPr>
        <w:t>年数字化校园平台维护费。</w:t>
      </w:r>
    </w:p>
    <w:p>
      <w:pPr>
        <w:ind w:firstLine="560" w:firstLineChars="200"/>
        <w:rPr>
          <w:sz w:val="28"/>
          <w:szCs w:val="28"/>
        </w:rPr>
      </w:pPr>
      <w:r>
        <w:rPr>
          <w:rFonts w:hint="eastAsia"/>
          <w:sz w:val="28"/>
          <w:szCs w:val="28"/>
        </w:rPr>
        <w:t>2、项目预算：</w:t>
      </w:r>
      <w:r>
        <w:rPr>
          <w:sz w:val="28"/>
          <w:szCs w:val="28"/>
        </w:rPr>
        <w:t>13.7</w:t>
      </w:r>
      <w:r>
        <w:rPr>
          <w:rFonts w:hint="eastAsia"/>
          <w:sz w:val="28"/>
          <w:szCs w:val="28"/>
        </w:rPr>
        <w:t>万元。</w:t>
      </w:r>
    </w:p>
    <w:p>
      <w:pPr>
        <w:ind w:firstLine="560" w:firstLineChars="200"/>
        <w:rPr>
          <w:sz w:val="28"/>
          <w:szCs w:val="28"/>
        </w:rPr>
      </w:pPr>
      <w:r>
        <w:rPr>
          <w:sz w:val="28"/>
          <w:szCs w:val="28"/>
        </w:rPr>
        <w:t>3</w:t>
      </w:r>
      <w:r>
        <w:rPr>
          <w:rFonts w:hint="eastAsia"/>
          <w:sz w:val="28"/>
          <w:szCs w:val="28"/>
        </w:rPr>
        <w:t>、采购方式：单一来源采购。</w:t>
      </w:r>
    </w:p>
    <w:p>
      <w:pPr>
        <w:ind w:firstLine="560" w:firstLineChars="200"/>
        <w:rPr>
          <w:sz w:val="28"/>
          <w:szCs w:val="28"/>
        </w:rPr>
      </w:pPr>
      <w:r>
        <w:rPr>
          <w:rFonts w:hint="eastAsia"/>
          <w:sz w:val="28"/>
          <w:szCs w:val="28"/>
        </w:rPr>
        <w:t>4、项目背景：《安徽新闻出版职业技术学院数字化校园一期软件采购第1包项目》于2017年8月建成；《安徽新闻出版职业技术学院学生管理系统采购项目》于2017年9月建成，为了使两个项目采购的系统保持正常运转，继续服务学院教学及工作，现进行维保服务采购。</w:t>
      </w:r>
    </w:p>
    <w:p>
      <w:pPr>
        <w:ind w:firstLine="562" w:firstLineChars="200"/>
        <w:rPr>
          <w:b/>
          <w:sz w:val="28"/>
          <w:szCs w:val="28"/>
        </w:rPr>
      </w:pPr>
      <w:r>
        <w:rPr>
          <w:rFonts w:hint="eastAsia"/>
          <w:b/>
          <w:sz w:val="28"/>
          <w:szCs w:val="28"/>
        </w:rPr>
        <w:t>二、服务期限</w:t>
      </w:r>
    </w:p>
    <w:p>
      <w:pPr>
        <w:ind w:firstLine="560" w:firstLineChars="200"/>
        <w:rPr>
          <w:sz w:val="28"/>
          <w:szCs w:val="28"/>
        </w:rPr>
      </w:pPr>
      <w:r>
        <w:rPr>
          <w:rFonts w:hint="eastAsia"/>
          <w:sz w:val="28"/>
          <w:szCs w:val="28"/>
        </w:rPr>
        <w:t>自合同签订之日起至20</w:t>
      </w:r>
      <w:r>
        <w:rPr>
          <w:sz w:val="28"/>
          <w:szCs w:val="28"/>
        </w:rPr>
        <w:t>2</w:t>
      </w:r>
      <w:r>
        <w:rPr>
          <w:rFonts w:hint="eastAsia"/>
          <w:sz w:val="28"/>
          <w:szCs w:val="28"/>
          <w:lang w:val="en-US" w:eastAsia="zh-CN"/>
        </w:rPr>
        <w:t>3</w:t>
      </w:r>
      <w:r>
        <w:rPr>
          <w:rFonts w:hint="eastAsia"/>
          <w:sz w:val="28"/>
          <w:szCs w:val="28"/>
        </w:rPr>
        <w:t>年12月</w:t>
      </w:r>
      <w:r>
        <w:rPr>
          <w:sz w:val="28"/>
          <w:szCs w:val="28"/>
        </w:rPr>
        <w:t>31</w:t>
      </w:r>
      <w:r>
        <w:rPr>
          <w:rFonts w:hint="eastAsia"/>
          <w:sz w:val="28"/>
          <w:szCs w:val="28"/>
        </w:rPr>
        <w:t>日。</w:t>
      </w:r>
    </w:p>
    <w:p>
      <w:pPr>
        <w:ind w:firstLine="562" w:firstLineChars="200"/>
        <w:rPr>
          <w:b/>
          <w:sz w:val="28"/>
          <w:szCs w:val="28"/>
        </w:rPr>
      </w:pPr>
      <w:r>
        <w:rPr>
          <w:rFonts w:hint="eastAsia"/>
          <w:b/>
          <w:sz w:val="28"/>
          <w:szCs w:val="28"/>
        </w:rPr>
        <w:t>三、服务范围</w:t>
      </w:r>
    </w:p>
    <w:p>
      <w:pPr>
        <w:ind w:firstLine="560" w:firstLineChars="200"/>
        <w:rPr>
          <w:sz w:val="28"/>
          <w:szCs w:val="28"/>
        </w:rPr>
      </w:pPr>
      <w:r>
        <w:rPr>
          <w:rFonts w:hint="eastAsia"/>
          <w:sz w:val="28"/>
          <w:szCs w:val="28"/>
        </w:rPr>
        <w:t>服务商需对“表一”中所列的应用提供服务期限内的维保服务。</w:t>
      </w:r>
    </w:p>
    <w:tbl>
      <w:tblPr>
        <w:tblStyle w:val="5"/>
        <w:tblW w:w="5320" w:type="dxa"/>
        <w:jc w:val="center"/>
        <w:tblLayout w:type="autofit"/>
        <w:tblCellMar>
          <w:top w:w="0" w:type="dxa"/>
          <w:left w:w="108" w:type="dxa"/>
          <w:bottom w:w="0" w:type="dxa"/>
          <w:right w:w="108" w:type="dxa"/>
        </w:tblCellMar>
      </w:tblPr>
      <w:tblGrid>
        <w:gridCol w:w="1080"/>
        <w:gridCol w:w="2080"/>
        <w:gridCol w:w="1080"/>
        <w:gridCol w:w="1080"/>
      </w:tblGrid>
      <w:tr>
        <w:tblPrEx>
          <w:tblCellMar>
            <w:top w:w="0" w:type="dxa"/>
            <w:left w:w="108" w:type="dxa"/>
            <w:bottom w:w="0" w:type="dxa"/>
            <w:right w:w="108"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kern w:val="0"/>
                <w:sz w:val="22"/>
              </w:rPr>
            </w:pPr>
            <w:r>
              <w:rPr>
                <w:rFonts w:hint="eastAsia" w:ascii="等线" w:hAnsi="等线" w:eastAsia="等线" w:cs="宋体"/>
                <w:kern w:val="0"/>
                <w:sz w:val="22"/>
              </w:rPr>
              <w:t>序号</w:t>
            </w:r>
          </w:p>
        </w:tc>
        <w:tc>
          <w:tcPr>
            <w:tcW w:w="208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kern w:val="0"/>
                <w:sz w:val="22"/>
              </w:rPr>
            </w:pPr>
            <w:r>
              <w:rPr>
                <w:rFonts w:hint="eastAsia" w:ascii="等线" w:hAnsi="等线" w:eastAsia="等线" w:cs="宋体"/>
                <w:kern w:val="0"/>
                <w:sz w:val="22"/>
              </w:rPr>
              <w:t>应用名称</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kern w:val="0"/>
                <w:sz w:val="22"/>
              </w:rPr>
            </w:pPr>
            <w:r>
              <w:rPr>
                <w:rFonts w:hint="eastAsia" w:ascii="等线" w:hAnsi="等线" w:eastAsia="等线" w:cs="宋体"/>
                <w:kern w:val="0"/>
                <w:sz w:val="22"/>
              </w:rPr>
              <w:t>数量</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kern w:val="0"/>
                <w:sz w:val="22"/>
              </w:rPr>
            </w:pPr>
            <w:r>
              <w:rPr>
                <w:rFonts w:hint="eastAsia" w:ascii="等线" w:hAnsi="等线" w:eastAsia="等线" w:cs="宋体"/>
                <w:kern w:val="0"/>
                <w:sz w:val="22"/>
              </w:rPr>
              <w:t>单位</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kern w:val="0"/>
                <w:sz w:val="22"/>
              </w:rPr>
            </w:pPr>
            <w:r>
              <w:rPr>
                <w:rFonts w:hint="eastAsia" w:ascii="等线" w:hAnsi="等线" w:eastAsia="等线" w:cs="宋体"/>
                <w:kern w:val="0"/>
                <w:sz w:val="22"/>
              </w:rPr>
              <w:t>1</w:t>
            </w: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kern w:val="0"/>
                <w:sz w:val="22"/>
              </w:rPr>
            </w:pPr>
            <w:r>
              <w:rPr>
                <w:rFonts w:hint="eastAsia" w:ascii="等线" w:hAnsi="等线" w:eastAsia="等线" w:cs="宋体"/>
                <w:kern w:val="0"/>
                <w:sz w:val="22"/>
              </w:rPr>
              <w:t>主数据管理平台</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kern w:val="0"/>
                <w:sz w:val="22"/>
              </w:rPr>
            </w:pPr>
            <w:r>
              <w:rPr>
                <w:rFonts w:hint="eastAsia" w:ascii="等线" w:hAnsi="等线" w:eastAsia="等线" w:cs="宋体"/>
                <w:kern w:val="0"/>
                <w:sz w:val="22"/>
              </w:rPr>
              <w:t>1</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kern w:val="0"/>
                <w:sz w:val="22"/>
              </w:rPr>
            </w:pPr>
            <w:r>
              <w:rPr>
                <w:rFonts w:hint="eastAsia" w:ascii="等线" w:hAnsi="等线" w:eastAsia="等线" w:cs="宋体"/>
                <w:kern w:val="0"/>
                <w:sz w:val="22"/>
              </w:rPr>
              <w:t>套</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kern w:val="0"/>
                <w:sz w:val="22"/>
              </w:rPr>
            </w:pPr>
            <w:r>
              <w:rPr>
                <w:rFonts w:hint="eastAsia" w:ascii="等线" w:hAnsi="等线" w:eastAsia="等线" w:cs="宋体"/>
                <w:kern w:val="0"/>
                <w:sz w:val="22"/>
              </w:rPr>
              <w:t>2</w:t>
            </w: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kern w:val="0"/>
                <w:sz w:val="22"/>
              </w:rPr>
            </w:pPr>
            <w:r>
              <w:rPr>
                <w:rFonts w:hint="eastAsia" w:ascii="等线" w:hAnsi="等线" w:eastAsia="等线" w:cs="宋体"/>
                <w:kern w:val="0"/>
                <w:sz w:val="22"/>
              </w:rPr>
              <w:t>统一身份认证平台</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kern w:val="0"/>
                <w:sz w:val="22"/>
              </w:rPr>
            </w:pPr>
            <w:r>
              <w:rPr>
                <w:rFonts w:hint="eastAsia" w:ascii="等线" w:hAnsi="等线" w:eastAsia="等线" w:cs="宋体"/>
                <w:kern w:val="0"/>
                <w:sz w:val="22"/>
              </w:rPr>
              <w:t>1</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kern w:val="0"/>
                <w:sz w:val="22"/>
              </w:rPr>
            </w:pPr>
            <w:r>
              <w:rPr>
                <w:rFonts w:hint="eastAsia" w:ascii="等线" w:hAnsi="等线" w:eastAsia="等线" w:cs="宋体"/>
                <w:kern w:val="0"/>
                <w:sz w:val="22"/>
              </w:rPr>
              <w:t>套</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kern w:val="0"/>
                <w:sz w:val="22"/>
              </w:rPr>
            </w:pPr>
            <w:r>
              <w:rPr>
                <w:rFonts w:hint="eastAsia" w:ascii="等线" w:hAnsi="等线" w:eastAsia="等线" w:cs="宋体"/>
                <w:kern w:val="0"/>
                <w:sz w:val="22"/>
              </w:rPr>
              <w:t>3</w:t>
            </w: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kern w:val="0"/>
                <w:sz w:val="22"/>
              </w:rPr>
            </w:pPr>
            <w:r>
              <w:rPr>
                <w:rFonts w:hint="eastAsia" w:ascii="等线" w:hAnsi="等线" w:eastAsia="等线" w:cs="宋体"/>
                <w:kern w:val="0"/>
                <w:sz w:val="22"/>
              </w:rPr>
              <w:t>迎新服务</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kern w:val="0"/>
                <w:sz w:val="22"/>
              </w:rPr>
            </w:pPr>
            <w:r>
              <w:rPr>
                <w:rFonts w:hint="eastAsia" w:ascii="等线" w:hAnsi="等线" w:eastAsia="等线" w:cs="宋体"/>
                <w:kern w:val="0"/>
                <w:sz w:val="22"/>
              </w:rPr>
              <w:t>1</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kern w:val="0"/>
                <w:sz w:val="22"/>
              </w:rPr>
            </w:pPr>
            <w:r>
              <w:rPr>
                <w:rFonts w:hint="eastAsia" w:ascii="等线" w:hAnsi="等线" w:eastAsia="等线" w:cs="宋体"/>
                <w:kern w:val="0"/>
                <w:sz w:val="22"/>
              </w:rPr>
              <w:t>套</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kern w:val="0"/>
                <w:sz w:val="22"/>
              </w:rPr>
            </w:pPr>
            <w:r>
              <w:rPr>
                <w:rFonts w:hint="eastAsia" w:ascii="等线" w:hAnsi="等线" w:eastAsia="等线" w:cs="宋体"/>
                <w:kern w:val="0"/>
                <w:sz w:val="22"/>
              </w:rPr>
              <w:t>4</w:t>
            </w: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kern w:val="0"/>
                <w:sz w:val="22"/>
              </w:rPr>
            </w:pPr>
            <w:r>
              <w:rPr>
                <w:rFonts w:hint="eastAsia" w:ascii="等线" w:hAnsi="等线" w:eastAsia="等线" w:cs="宋体"/>
                <w:kern w:val="0"/>
                <w:sz w:val="22"/>
              </w:rPr>
              <w:t>宿舍服务</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kern w:val="0"/>
                <w:sz w:val="22"/>
              </w:rPr>
            </w:pPr>
            <w:r>
              <w:rPr>
                <w:rFonts w:hint="eastAsia" w:ascii="等线" w:hAnsi="等线" w:eastAsia="等线" w:cs="宋体"/>
                <w:kern w:val="0"/>
                <w:sz w:val="22"/>
              </w:rPr>
              <w:t>1</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kern w:val="0"/>
                <w:sz w:val="22"/>
              </w:rPr>
            </w:pPr>
            <w:r>
              <w:rPr>
                <w:rFonts w:hint="eastAsia" w:ascii="等线" w:hAnsi="等线" w:eastAsia="等线" w:cs="宋体"/>
                <w:kern w:val="0"/>
                <w:sz w:val="22"/>
              </w:rPr>
              <w:t>套</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kern w:val="0"/>
                <w:sz w:val="22"/>
              </w:rPr>
            </w:pPr>
            <w:r>
              <w:rPr>
                <w:rFonts w:hint="eastAsia" w:ascii="等线" w:hAnsi="等线" w:eastAsia="等线" w:cs="宋体"/>
                <w:kern w:val="0"/>
                <w:sz w:val="22"/>
              </w:rPr>
              <w:t>5</w:t>
            </w: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kern w:val="0"/>
                <w:sz w:val="22"/>
              </w:rPr>
            </w:pPr>
            <w:r>
              <w:rPr>
                <w:rFonts w:hint="eastAsia" w:ascii="等线" w:hAnsi="等线" w:eastAsia="等线" w:cs="宋体"/>
                <w:kern w:val="0"/>
                <w:sz w:val="22"/>
              </w:rPr>
              <w:t>学生信息管理系统</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kern w:val="0"/>
                <w:sz w:val="22"/>
              </w:rPr>
            </w:pPr>
            <w:r>
              <w:rPr>
                <w:rFonts w:hint="eastAsia" w:ascii="等线" w:hAnsi="等线" w:eastAsia="等线" w:cs="宋体"/>
                <w:kern w:val="0"/>
                <w:sz w:val="22"/>
              </w:rPr>
              <w:t>1</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kern w:val="0"/>
                <w:sz w:val="22"/>
              </w:rPr>
            </w:pPr>
            <w:r>
              <w:rPr>
                <w:rFonts w:hint="eastAsia" w:ascii="等线" w:hAnsi="等线" w:eastAsia="等线" w:cs="宋体"/>
                <w:kern w:val="0"/>
                <w:sz w:val="22"/>
              </w:rPr>
              <w:t>套</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kern w:val="0"/>
                <w:sz w:val="22"/>
              </w:rPr>
            </w:pPr>
            <w:r>
              <w:rPr>
                <w:rFonts w:hint="eastAsia" w:ascii="等线" w:hAnsi="等线" w:eastAsia="等线" w:cs="宋体"/>
                <w:kern w:val="0"/>
                <w:sz w:val="22"/>
              </w:rPr>
              <w:t>6</w:t>
            </w:r>
          </w:p>
        </w:tc>
        <w:tc>
          <w:tcPr>
            <w:tcW w:w="2080"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kern w:val="0"/>
                <w:sz w:val="22"/>
              </w:rPr>
            </w:pPr>
            <w:r>
              <w:rPr>
                <w:rFonts w:hint="eastAsia" w:ascii="等线" w:hAnsi="等线" w:eastAsia="等线" w:cs="宋体"/>
                <w:kern w:val="0"/>
                <w:sz w:val="22"/>
              </w:rPr>
              <w:t>学生离校管理系统</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kern w:val="0"/>
                <w:sz w:val="22"/>
              </w:rPr>
            </w:pPr>
            <w:r>
              <w:rPr>
                <w:rFonts w:hint="eastAsia" w:ascii="等线" w:hAnsi="等线" w:eastAsia="等线" w:cs="宋体"/>
                <w:kern w:val="0"/>
                <w:sz w:val="22"/>
              </w:rPr>
              <w:t>1</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kern w:val="0"/>
                <w:sz w:val="22"/>
              </w:rPr>
            </w:pPr>
            <w:r>
              <w:rPr>
                <w:rFonts w:hint="eastAsia" w:ascii="等线" w:hAnsi="等线" w:eastAsia="等线" w:cs="宋体"/>
                <w:kern w:val="0"/>
                <w:sz w:val="22"/>
              </w:rPr>
              <w:t>套</w:t>
            </w:r>
          </w:p>
        </w:tc>
      </w:tr>
    </w:tbl>
    <w:p>
      <w:pPr>
        <w:ind w:firstLine="420" w:firstLineChars="200"/>
        <w:jc w:val="center"/>
        <w:rPr>
          <w:szCs w:val="28"/>
        </w:rPr>
      </w:pPr>
      <w:r>
        <w:rPr>
          <w:rFonts w:hint="eastAsia"/>
          <w:szCs w:val="28"/>
        </w:rPr>
        <w:t>表一</w:t>
      </w:r>
    </w:p>
    <w:p>
      <w:pPr>
        <w:widowControl/>
        <w:jc w:val="left"/>
        <w:rPr>
          <w:szCs w:val="28"/>
        </w:rPr>
      </w:pPr>
      <w:r>
        <w:rPr>
          <w:szCs w:val="28"/>
        </w:rPr>
        <w:br w:type="page"/>
      </w:r>
    </w:p>
    <w:p>
      <w:pPr>
        <w:ind w:firstLine="562" w:firstLineChars="200"/>
        <w:rPr>
          <w:b/>
          <w:sz w:val="28"/>
          <w:szCs w:val="28"/>
        </w:rPr>
      </w:pPr>
      <w:r>
        <w:rPr>
          <w:rFonts w:hint="eastAsia"/>
          <w:b/>
          <w:sz w:val="28"/>
          <w:szCs w:val="28"/>
        </w:rPr>
        <w:t>四、服务内容</w:t>
      </w:r>
    </w:p>
    <w:tbl>
      <w:tblPr>
        <w:tblStyle w:val="5"/>
        <w:tblW w:w="5000" w:type="pct"/>
        <w:jc w:val="center"/>
        <w:tblLayout w:type="autofit"/>
        <w:tblCellMar>
          <w:top w:w="0" w:type="dxa"/>
          <w:left w:w="108" w:type="dxa"/>
          <w:bottom w:w="0" w:type="dxa"/>
          <w:right w:w="108" w:type="dxa"/>
        </w:tblCellMar>
      </w:tblPr>
      <w:tblGrid>
        <w:gridCol w:w="1505"/>
        <w:gridCol w:w="2257"/>
        <w:gridCol w:w="4760"/>
      </w:tblGrid>
      <w:tr>
        <w:tblPrEx>
          <w:tblCellMar>
            <w:top w:w="0" w:type="dxa"/>
            <w:left w:w="108" w:type="dxa"/>
            <w:bottom w:w="0" w:type="dxa"/>
            <w:right w:w="108" w:type="dxa"/>
          </w:tblCellMar>
        </w:tblPrEx>
        <w:trPr>
          <w:trHeight w:val="285" w:hRule="atLeast"/>
          <w:jc w:val="center"/>
        </w:trPr>
        <w:tc>
          <w:tcPr>
            <w:tcW w:w="883" w:type="pct"/>
            <w:tcBorders>
              <w:top w:val="single" w:color="auto" w:sz="4" w:space="0"/>
              <w:left w:val="single" w:color="auto" w:sz="4" w:space="0"/>
              <w:bottom w:val="single" w:color="auto" w:sz="4" w:space="0"/>
              <w:right w:val="single" w:color="auto" w:sz="4" w:space="0"/>
            </w:tcBorders>
            <w:shd w:val="clear" w:color="auto" w:fill="D9D9D9"/>
            <w:vAlign w:val="center"/>
          </w:tcPr>
          <w:p>
            <w:pPr>
              <w:rPr>
                <w:rFonts w:ascii="宋体" w:hAnsi="宋体" w:cs="宋体"/>
                <w:b/>
                <w:bCs/>
                <w:sz w:val="24"/>
              </w:rPr>
            </w:pPr>
            <w:r>
              <w:rPr>
                <w:rFonts w:hint="eastAsia" w:ascii="宋体" w:hAnsi="宋体" w:cs="宋体"/>
                <w:b/>
                <w:bCs/>
                <w:sz w:val="24"/>
              </w:rPr>
              <w:t>服务项</w:t>
            </w:r>
          </w:p>
        </w:tc>
        <w:tc>
          <w:tcPr>
            <w:tcW w:w="1324" w:type="pct"/>
            <w:tcBorders>
              <w:top w:val="single" w:color="auto" w:sz="4" w:space="0"/>
              <w:left w:val="nil"/>
              <w:bottom w:val="single" w:color="auto" w:sz="4" w:space="0"/>
              <w:right w:val="single" w:color="auto" w:sz="4" w:space="0"/>
            </w:tcBorders>
            <w:shd w:val="clear" w:color="auto" w:fill="D9D9D9"/>
            <w:vAlign w:val="center"/>
          </w:tcPr>
          <w:p>
            <w:pPr>
              <w:rPr>
                <w:rFonts w:ascii="宋体" w:hAnsi="宋体" w:cs="宋体"/>
                <w:b/>
                <w:bCs/>
                <w:sz w:val="24"/>
              </w:rPr>
            </w:pPr>
            <w:r>
              <w:rPr>
                <w:rFonts w:hint="eastAsia" w:ascii="宋体" w:hAnsi="宋体" w:cs="宋体"/>
                <w:b/>
                <w:bCs/>
                <w:sz w:val="24"/>
              </w:rPr>
              <w:t>服务内容</w:t>
            </w:r>
          </w:p>
        </w:tc>
        <w:tc>
          <w:tcPr>
            <w:tcW w:w="2792" w:type="pct"/>
            <w:tcBorders>
              <w:top w:val="single" w:color="auto" w:sz="4" w:space="0"/>
              <w:left w:val="nil"/>
              <w:bottom w:val="single" w:color="auto" w:sz="4" w:space="0"/>
              <w:right w:val="single" w:color="auto" w:sz="4" w:space="0"/>
            </w:tcBorders>
            <w:shd w:val="clear" w:color="auto" w:fill="D9D9D9"/>
            <w:vAlign w:val="center"/>
          </w:tcPr>
          <w:p>
            <w:pPr>
              <w:rPr>
                <w:rFonts w:ascii="宋体" w:hAnsi="宋体" w:cs="宋体"/>
                <w:b/>
                <w:bCs/>
                <w:sz w:val="24"/>
              </w:rPr>
            </w:pPr>
            <w:r>
              <w:rPr>
                <w:rFonts w:hint="eastAsia" w:ascii="宋体" w:hAnsi="宋体" w:cs="宋体"/>
                <w:b/>
                <w:bCs/>
                <w:sz w:val="24"/>
              </w:rPr>
              <w:t>服务项说明</w:t>
            </w:r>
          </w:p>
        </w:tc>
      </w:tr>
      <w:tr>
        <w:tblPrEx>
          <w:tblCellMar>
            <w:top w:w="0" w:type="dxa"/>
            <w:left w:w="108" w:type="dxa"/>
            <w:bottom w:w="0" w:type="dxa"/>
            <w:right w:w="108" w:type="dxa"/>
          </w:tblCellMar>
        </w:tblPrEx>
        <w:trPr>
          <w:trHeight w:val="285" w:hRule="atLeast"/>
          <w:jc w:val="center"/>
        </w:trPr>
        <w:tc>
          <w:tcPr>
            <w:tcW w:w="883" w:type="pct"/>
            <w:vMerge w:val="restart"/>
            <w:tcBorders>
              <w:top w:val="nil"/>
              <w:left w:val="single" w:color="auto" w:sz="4" w:space="0"/>
              <w:bottom w:val="single" w:color="auto" w:sz="4" w:space="0"/>
              <w:right w:val="single" w:color="auto" w:sz="4" w:space="0"/>
            </w:tcBorders>
            <w:vAlign w:val="center"/>
          </w:tcPr>
          <w:p>
            <w:pPr>
              <w:rPr>
                <w:rFonts w:ascii="宋体" w:hAnsi="宋体" w:cs="宋体"/>
                <w:b/>
                <w:bCs/>
                <w:sz w:val="24"/>
              </w:rPr>
            </w:pPr>
            <w:r>
              <w:rPr>
                <w:rFonts w:hint="eastAsia" w:ascii="宋体" w:hAnsi="宋体" w:cs="宋体"/>
                <w:b/>
                <w:bCs/>
                <w:sz w:val="24"/>
              </w:rPr>
              <w:t>服务获取</w:t>
            </w:r>
          </w:p>
        </w:tc>
        <w:tc>
          <w:tcPr>
            <w:tcW w:w="1324" w:type="pct"/>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线上受理</w:t>
            </w:r>
          </w:p>
        </w:tc>
        <w:tc>
          <w:tcPr>
            <w:tcW w:w="2792" w:type="pct"/>
            <w:tcBorders>
              <w:top w:val="nil"/>
              <w:left w:val="nil"/>
              <w:bottom w:val="single" w:color="auto" w:sz="4" w:space="0"/>
              <w:right w:val="single" w:color="auto" w:sz="4" w:space="0"/>
            </w:tcBorders>
            <w:vAlign w:val="bottom"/>
          </w:tcPr>
          <w:p>
            <w:pPr>
              <w:rPr>
                <w:rFonts w:ascii="宋体" w:hAnsi="宋体" w:cs="宋体"/>
                <w:sz w:val="24"/>
              </w:rPr>
            </w:pPr>
            <w:r>
              <w:rPr>
                <w:rFonts w:hint="eastAsia" w:ascii="宋体" w:hAnsi="宋体" w:cs="宋体"/>
                <w:sz w:val="24"/>
              </w:rPr>
              <w:t>提供可供登陆的线上提报解决问题的平台。</w:t>
            </w:r>
          </w:p>
        </w:tc>
      </w:tr>
      <w:tr>
        <w:tblPrEx>
          <w:tblCellMar>
            <w:top w:w="0" w:type="dxa"/>
            <w:left w:w="108" w:type="dxa"/>
            <w:bottom w:w="0" w:type="dxa"/>
            <w:right w:w="108" w:type="dxa"/>
          </w:tblCellMar>
        </w:tblPrEx>
        <w:trPr>
          <w:trHeight w:val="285" w:hRule="atLeast"/>
          <w:jc w:val="center"/>
        </w:trPr>
        <w:tc>
          <w:tcPr>
            <w:tcW w:w="88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sz w:val="24"/>
              </w:rPr>
            </w:pPr>
          </w:p>
        </w:tc>
        <w:tc>
          <w:tcPr>
            <w:tcW w:w="1324" w:type="pct"/>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电话服务</w:t>
            </w:r>
          </w:p>
        </w:tc>
        <w:tc>
          <w:tcPr>
            <w:tcW w:w="2792" w:type="pct"/>
            <w:tcBorders>
              <w:top w:val="nil"/>
              <w:left w:val="nil"/>
              <w:bottom w:val="single" w:color="auto" w:sz="4" w:space="0"/>
              <w:right w:val="single" w:color="auto" w:sz="4" w:space="0"/>
            </w:tcBorders>
            <w:vAlign w:val="bottom"/>
          </w:tcPr>
          <w:p>
            <w:pPr>
              <w:rPr>
                <w:rFonts w:ascii="宋体" w:hAnsi="宋体" w:cs="宋体"/>
                <w:sz w:val="24"/>
              </w:rPr>
            </w:pPr>
            <w:r>
              <w:rPr>
                <w:rFonts w:hint="eastAsia" w:ascii="宋体" w:hAnsi="宋体" w:cs="宋体"/>
                <w:sz w:val="24"/>
              </w:rPr>
              <w:t>提供7*24小时电话支持指导服务电话。</w:t>
            </w:r>
          </w:p>
        </w:tc>
      </w:tr>
      <w:tr>
        <w:tblPrEx>
          <w:tblCellMar>
            <w:top w:w="0" w:type="dxa"/>
            <w:left w:w="108" w:type="dxa"/>
            <w:bottom w:w="0" w:type="dxa"/>
            <w:right w:w="108" w:type="dxa"/>
          </w:tblCellMar>
        </w:tblPrEx>
        <w:trPr>
          <w:trHeight w:val="285" w:hRule="atLeast"/>
          <w:jc w:val="center"/>
        </w:trPr>
        <w:tc>
          <w:tcPr>
            <w:tcW w:w="88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sz w:val="24"/>
              </w:rPr>
            </w:pPr>
          </w:p>
        </w:tc>
        <w:tc>
          <w:tcPr>
            <w:tcW w:w="1324" w:type="pct"/>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Email服务</w:t>
            </w:r>
          </w:p>
        </w:tc>
        <w:tc>
          <w:tcPr>
            <w:tcW w:w="2792" w:type="pct"/>
            <w:tcBorders>
              <w:top w:val="nil"/>
              <w:left w:val="nil"/>
              <w:bottom w:val="single" w:color="auto" w:sz="4" w:space="0"/>
              <w:right w:val="single" w:color="auto" w:sz="4" w:space="0"/>
            </w:tcBorders>
            <w:vAlign w:val="bottom"/>
          </w:tcPr>
          <w:p>
            <w:pPr>
              <w:rPr>
                <w:rFonts w:ascii="宋体" w:hAnsi="宋体" w:cs="宋体"/>
                <w:sz w:val="24"/>
              </w:rPr>
            </w:pPr>
            <w:r>
              <w:rPr>
                <w:rFonts w:hint="eastAsia" w:ascii="宋体" w:hAnsi="宋体" w:cs="宋体"/>
                <w:sz w:val="24"/>
              </w:rPr>
              <w:t>提供电子邮件地址，可供问题解答、协助安装、产品参考等。</w:t>
            </w:r>
          </w:p>
        </w:tc>
      </w:tr>
      <w:tr>
        <w:tblPrEx>
          <w:tblCellMar>
            <w:top w:w="0" w:type="dxa"/>
            <w:left w:w="108" w:type="dxa"/>
            <w:bottom w:w="0" w:type="dxa"/>
            <w:right w:w="108" w:type="dxa"/>
          </w:tblCellMar>
        </w:tblPrEx>
        <w:trPr>
          <w:trHeight w:val="285" w:hRule="atLeast"/>
          <w:jc w:val="center"/>
        </w:trPr>
        <w:tc>
          <w:tcPr>
            <w:tcW w:w="883" w:type="pct"/>
            <w:tcBorders>
              <w:top w:val="nil"/>
              <w:left w:val="single" w:color="auto" w:sz="4" w:space="0"/>
              <w:bottom w:val="single" w:color="auto" w:sz="4" w:space="0"/>
              <w:right w:val="single" w:color="auto" w:sz="4" w:space="0"/>
            </w:tcBorders>
            <w:vAlign w:val="center"/>
          </w:tcPr>
          <w:p>
            <w:pPr>
              <w:rPr>
                <w:rFonts w:ascii="宋体" w:hAnsi="宋体" w:cs="宋体"/>
                <w:b/>
                <w:bCs/>
                <w:sz w:val="24"/>
              </w:rPr>
            </w:pPr>
            <w:r>
              <w:rPr>
                <w:b/>
                <w:sz w:val="24"/>
              </w:rPr>
              <w:t>BUG</w:t>
            </w:r>
            <w:r>
              <w:rPr>
                <w:rFonts w:hint="eastAsia"/>
                <w:b/>
                <w:sz w:val="24"/>
              </w:rPr>
              <w:t>修复</w:t>
            </w:r>
          </w:p>
        </w:tc>
        <w:tc>
          <w:tcPr>
            <w:tcW w:w="1324" w:type="pct"/>
            <w:tcBorders>
              <w:top w:val="nil"/>
              <w:left w:val="nil"/>
              <w:bottom w:val="single" w:color="auto" w:sz="4" w:space="0"/>
              <w:right w:val="single" w:color="auto" w:sz="4" w:space="0"/>
            </w:tcBorders>
            <w:vAlign w:val="center"/>
          </w:tcPr>
          <w:p>
            <w:pPr>
              <w:rPr>
                <w:rFonts w:ascii="宋体" w:hAnsi="宋体" w:cs="宋体"/>
                <w:sz w:val="24"/>
              </w:rPr>
            </w:pPr>
            <w:r>
              <w:rPr>
                <w:sz w:val="24"/>
              </w:rPr>
              <w:t>BUG</w:t>
            </w:r>
            <w:r>
              <w:rPr>
                <w:rFonts w:hint="eastAsia"/>
                <w:sz w:val="24"/>
              </w:rPr>
              <w:t>修复</w:t>
            </w:r>
          </w:p>
        </w:tc>
        <w:tc>
          <w:tcPr>
            <w:tcW w:w="2792" w:type="pct"/>
            <w:tcBorders>
              <w:top w:val="nil"/>
              <w:left w:val="nil"/>
              <w:bottom w:val="single" w:color="auto" w:sz="4" w:space="0"/>
              <w:right w:val="single" w:color="auto" w:sz="4" w:space="0"/>
            </w:tcBorders>
            <w:vAlign w:val="bottom"/>
          </w:tcPr>
          <w:p>
            <w:pPr>
              <w:rPr>
                <w:rFonts w:ascii="宋体" w:hAnsi="宋体" w:cs="宋体"/>
                <w:sz w:val="24"/>
              </w:rPr>
            </w:pPr>
            <w:r>
              <w:rPr>
                <w:rFonts w:hint="eastAsia"/>
                <w:sz w:val="24"/>
              </w:rPr>
              <w:t>针对服务商提供的应用系统中存在的</w:t>
            </w:r>
            <w:r>
              <w:rPr>
                <w:sz w:val="24"/>
              </w:rPr>
              <w:t>BUG</w:t>
            </w:r>
            <w:r>
              <w:rPr>
                <w:rFonts w:hint="eastAsia"/>
                <w:sz w:val="24"/>
              </w:rPr>
              <w:t>，持续提供修正与消缺服务，并提供修复</w:t>
            </w:r>
            <w:r>
              <w:rPr>
                <w:sz w:val="24"/>
              </w:rPr>
              <w:t>BUG</w:t>
            </w:r>
            <w:r>
              <w:rPr>
                <w:rFonts w:hint="eastAsia"/>
                <w:sz w:val="24"/>
              </w:rPr>
              <w:t>的必要补丁版本的升级服务。</w:t>
            </w:r>
          </w:p>
        </w:tc>
      </w:tr>
      <w:tr>
        <w:tblPrEx>
          <w:tblCellMar>
            <w:top w:w="0" w:type="dxa"/>
            <w:left w:w="108" w:type="dxa"/>
            <w:bottom w:w="0" w:type="dxa"/>
            <w:right w:w="108" w:type="dxa"/>
          </w:tblCellMar>
        </w:tblPrEx>
        <w:trPr>
          <w:trHeight w:val="285" w:hRule="atLeast"/>
          <w:jc w:val="center"/>
        </w:trPr>
        <w:tc>
          <w:tcPr>
            <w:tcW w:w="883" w:type="pct"/>
            <w:tcBorders>
              <w:top w:val="nil"/>
              <w:left w:val="single" w:color="auto" w:sz="4" w:space="0"/>
              <w:bottom w:val="single" w:color="auto" w:sz="4" w:space="0"/>
              <w:right w:val="single" w:color="auto" w:sz="4" w:space="0"/>
            </w:tcBorders>
            <w:vAlign w:val="center"/>
          </w:tcPr>
          <w:p>
            <w:pPr>
              <w:rPr>
                <w:rFonts w:ascii="宋体" w:hAnsi="宋体" w:cs="宋体"/>
                <w:b/>
                <w:bCs/>
                <w:sz w:val="24"/>
              </w:rPr>
            </w:pPr>
            <w:r>
              <w:rPr>
                <w:rFonts w:hint="eastAsia"/>
                <w:b/>
                <w:sz w:val="24"/>
              </w:rPr>
              <w:t>故障处理</w:t>
            </w:r>
          </w:p>
        </w:tc>
        <w:tc>
          <w:tcPr>
            <w:tcW w:w="1324" w:type="pct"/>
            <w:tcBorders>
              <w:top w:val="nil"/>
              <w:left w:val="nil"/>
              <w:bottom w:val="single" w:color="auto" w:sz="4" w:space="0"/>
              <w:right w:val="single" w:color="auto" w:sz="4" w:space="0"/>
            </w:tcBorders>
            <w:vAlign w:val="center"/>
          </w:tcPr>
          <w:p>
            <w:pPr>
              <w:rPr>
                <w:rFonts w:ascii="宋体" w:hAnsi="宋体" w:cs="宋体"/>
                <w:sz w:val="24"/>
              </w:rPr>
            </w:pPr>
            <w:r>
              <w:rPr>
                <w:rFonts w:hint="eastAsia"/>
                <w:sz w:val="24"/>
              </w:rPr>
              <w:t>故障处理</w:t>
            </w:r>
          </w:p>
        </w:tc>
        <w:tc>
          <w:tcPr>
            <w:tcW w:w="2792" w:type="pct"/>
            <w:tcBorders>
              <w:top w:val="nil"/>
              <w:left w:val="nil"/>
              <w:bottom w:val="single" w:color="auto" w:sz="4" w:space="0"/>
              <w:right w:val="single" w:color="auto" w:sz="4" w:space="0"/>
            </w:tcBorders>
            <w:vAlign w:val="bottom"/>
          </w:tcPr>
          <w:p>
            <w:pPr>
              <w:rPr>
                <w:sz w:val="24"/>
              </w:rPr>
            </w:pPr>
            <w:r>
              <w:rPr>
                <w:rFonts w:hint="eastAsia"/>
                <w:sz w:val="24"/>
              </w:rPr>
              <w:t>系统上线运行时，当出现一些突发性情况而引起业务的中断时，为了保证系统的正常运行，对该故障进行处理，包括：</w:t>
            </w:r>
          </w:p>
          <w:p>
            <w:pPr>
              <w:ind w:left="34"/>
              <w:rPr>
                <w:sz w:val="24"/>
              </w:rPr>
            </w:pPr>
            <w:r>
              <w:rPr>
                <w:rFonts w:hint="eastAsia"/>
                <w:sz w:val="24"/>
              </w:rPr>
              <w:t>1、非计划掉电导致系统故障，我院排除故障后，配合系统恢复；</w:t>
            </w:r>
          </w:p>
          <w:p>
            <w:pPr>
              <w:ind w:left="34"/>
              <w:rPr>
                <w:sz w:val="24"/>
              </w:rPr>
            </w:pPr>
            <w:r>
              <w:rPr>
                <w:sz w:val="24"/>
              </w:rPr>
              <w:t>2</w:t>
            </w:r>
            <w:r>
              <w:rPr>
                <w:rFonts w:hint="eastAsia"/>
                <w:sz w:val="24"/>
              </w:rPr>
              <w:t>、系统资源不足导致系统故障，我院扩充资源后，配合学校系统恢复；</w:t>
            </w:r>
          </w:p>
          <w:p>
            <w:pPr>
              <w:ind w:left="34"/>
              <w:rPr>
                <w:sz w:val="24"/>
              </w:rPr>
            </w:pPr>
            <w:r>
              <w:rPr>
                <w:sz w:val="24"/>
              </w:rPr>
              <w:t>3</w:t>
            </w:r>
            <w:r>
              <w:rPr>
                <w:rFonts w:hint="eastAsia"/>
                <w:sz w:val="24"/>
              </w:rPr>
              <w:t>、硬件故障，我院排除故障并将数据还原后，配合学校系统恢复。</w:t>
            </w:r>
          </w:p>
          <w:p>
            <w:pPr>
              <w:rPr>
                <w:sz w:val="24"/>
              </w:rPr>
            </w:pPr>
            <w:r>
              <w:rPr>
                <w:rFonts w:hint="eastAsia"/>
                <w:sz w:val="24"/>
              </w:rPr>
              <w:t>如出现系统运行环境变更（如：系统文件丢失、系统权限变化、</w:t>
            </w:r>
            <w:r>
              <w:rPr>
                <w:sz w:val="24"/>
              </w:rPr>
              <w:t>IP</w:t>
            </w:r>
            <w:r>
              <w:rPr>
                <w:rFonts w:hint="eastAsia"/>
                <w:sz w:val="24"/>
              </w:rPr>
              <w:t>变更、操作系统无法启动、数据库故障等），则不在承诺系统恢复的服务范围内。</w:t>
            </w:r>
          </w:p>
          <w:p>
            <w:pPr>
              <w:rPr>
                <w:rFonts w:ascii="宋体" w:hAnsi="宋体" w:cs="宋体"/>
                <w:color w:val="000000"/>
                <w:sz w:val="24"/>
              </w:rPr>
            </w:pPr>
            <w:r>
              <w:rPr>
                <w:rFonts w:hint="eastAsia"/>
                <w:color w:val="000000"/>
                <w:sz w:val="24"/>
              </w:rPr>
              <w:t>如因第三方软件故障（包含</w:t>
            </w:r>
            <w:r>
              <w:rPr>
                <w:color w:val="000000"/>
                <w:sz w:val="24"/>
              </w:rPr>
              <w:t>websphere</w:t>
            </w:r>
            <w:r>
              <w:rPr>
                <w:rFonts w:hint="eastAsia"/>
                <w:color w:val="000000"/>
                <w:sz w:val="24"/>
              </w:rPr>
              <w:t>、</w:t>
            </w:r>
            <w:r>
              <w:rPr>
                <w:color w:val="000000"/>
                <w:sz w:val="24"/>
              </w:rPr>
              <w:t>Oracle</w:t>
            </w:r>
            <w:r>
              <w:rPr>
                <w:rFonts w:hint="eastAsia"/>
                <w:color w:val="000000"/>
                <w:sz w:val="24"/>
              </w:rPr>
              <w:t>数据库、</w:t>
            </w:r>
            <w:r>
              <w:rPr>
                <w:color w:val="000000"/>
                <w:sz w:val="24"/>
              </w:rPr>
              <w:t>https</w:t>
            </w:r>
            <w:r>
              <w:rPr>
                <w:rFonts w:hint="eastAsia"/>
                <w:color w:val="000000"/>
                <w:sz w:val="24"/>
              </w:rPr>
              <w:t>证书等），配合我院提供有偿的修复服务。</w:t>
            </w:r>
          </w:p>
        </w:tc>
      </w:tr>
      <w:tr>
        <w:tblPrEx>
          <w:tblCellMar>
            <w:top w:w="0" w:type="dxa"/>
            <w:left w:w="108" w:type="dxa"/>
            <w:bottom w:w="0" w:type="dxa"/>
            <w:right w:w="108" w:type="dxa"/>
          </w:tblCellMar>
        </w:tblPrEx>
        <w:trPr>
          <w:trHeight w:val="285" w:hRule="atLeast"/>
          <w:jc w:val="center"/>
        </w:trPr>
        <w:tc>
          <w:tcPr>
            <w:tcW w:w="883" w:type="pct"/>
            <w:tcBorders>
              <w:top w:val="nil"/>
              <w:left w:val="single" w:color="auto" w:sz="4" w:space="0"/>
              <w:bottom w:val="single" w:color="auto" w:sz="4" w:space="0"/>
              <w:right w:val="single" w:color="auto" w:sz="4" w:space="0"/>
            </w:tcBorders>
            <w:vAlign w:val="center"/>
          </w:tcPr>
          <w:p>
            <w:pPr>
              <w:rPr>
                <w:rFonts w:ascii="宋体" w:hAnsi="宋体" w:cs="宋体"/>
                <w:b/>
                <w:bCs/>
                <w:sz w:val="24"/>
              </w:rPr>
            </w:pPr>
            <w:r>
              <w:rPr>
                <w:rFonts w:hint="eastAsia"/>
                <w:b/>
                <w:sz w:val="24"/>
              </w:rPr>
              <w:t>运行支持</w:t>
            </w:r>
          </w:p>
        </w:tc>
        <w:tc>
          <w:tcPr>
            <w:tcW w:w="1324" w:type="pct"/>
            <w:tcBorders>
              <w:top w:val="nil"/>
              <w:left w:val="nil"/>
              <w:bottom w:val="single" w:color="auto" w:sz="4" w:space="0"/>
              <w:right w:val="single" w:color="auto" w:sz="4" w:space="0"/>
            </w:tcBorders>
            <w:vAlign w:val="center"/>
          </w:tcPr>
          <w:p>
            <w:pPr>
              <w:rPr>
                <w:rFonts w:ascii="宋体" w:hAnsi="宋体" w:cs="宋体"/>
                <w:sz w:val="24"/>
              </w:rPr>
            </w:pPr>
            <w:r>
              <w:rPr>
                <w:rFonts w:hint="eastAsia"/>
                <w:sz w:val="24"/>
              </w:rPr>
              <w:t>运行支持</w:t>
            </w:r>
          </w:p>
        </w:tc>
        <w:tc>
          <w:tcPr>
            <w:tcW w:w="2792" w:type="pct"/>
            <w:tcBorders>
              <w:top w:val="nil"/>
              <w:left w:val="nil"/>
              <w:bottom w:val="single" w:color="auto" w:sz="4" w:space="0"/>
              <w:right w:val="single" w:color="auto" w:sz="4" w:space="0"/>
            </w:tcBorders>
            <w:vAlign w:val="bottom"/>
          </w:tcPr>
          <w:p>
            <w:pPr>
              <w:rPr>
                <w:sz w:val="24"/>
              </w:rPr>
            </w:pPr>
            <w:r>
              <w:rPr>
                <w:rFonts w:hint="eastAsia"/>
                <w:sz w:val="24"/>
              </w:rPr>
              <w:t>对系统运行过程中系统管理员及业务管理员的问题提供解答和问题解决跟踪。</w:t>
            </w:r>
          </w:p>
          <w:p>
            <w:pPr>
              <w:rPr>
                <w:sz w:val="24"/>
              </w:rPr>
            </w:pPr>
            <w:r>
              <w:rPr>
                <w:rFonts w:hint="eastAsia"/>
                <w:sz w:val="24"/>
              </w:rPr>
              <w:t>1、系统环境调整后，环境文档实时更新；</w:t>
            </w:r>
          </w:p>
          <w:p>
            <w:pPr>
              <w:rPr>
                <w:sz w:val="24"/>
              </w:rPr>
            </w:pPr>
            <w:r>
              <w:rPr>
                <w:sz w:val="24"/>
              </w:rPr>
              <w:t>2</w:t>
            </w:r>
            <w:r>
              <w:rPr>
                <w:rFonts w:hint="eastAsia"/>
                <w:sz w:val="24"/>
              </w:rPr>
              <w:t>、系统使用过程中问题解答；</w:t>
            </w:r>
          </w:p>
          <w:p>
            <w:pPr>
              <w:rPr>
                <w:sz w:val="24"/>
              </w:rPr>
            </w:pPr>
            <w:r>
              <w:rPr>
                <w:sz w:val="24"/>
              </w:rPr>
              <w:t>3</w:t>
            </w:r>
            <w:r>
              <w:rPr>
                <w:rFonts w:hint="eastAsia"/>
                <w:sz w:val="24"/>
              </w:rPr>
              <w:t>、系统服务临时启停；</w:t>
            </w:r>
          </w:p>
          <w:p>
            <w:pPr>
              <w:rPr>
                <w:sz w:val="24"/>
              </w:rPr>
            </w:pPr>
            <w:r>
              <w:rPr>
                <w:sz w:val="24"/>
              </w:rPr>
              <w:t>4</w:t>
            </w:r>
            <w:r>
              <w:rPr>
                <w:rFonts w:hint="eastAsia"/>
                <w:sz w:val="24"/>
              </w:rPr>
              <w:t>、系统运行过程中访问报错问题处理；</w:t>
            </w:r>
          </w:p>
          <w:p>
            <w:pPr>
              <w:rPr>
                <w:rFonts w:ascii="宋体" w:hAnsi="宋体" w:cs="宋体"/>
                <w:sz w:val="24"/>
              </w:rPr>
            </w:pPr>
            <w:r>
              <w:rPr>
                <w:rFonts w:hint="eastAsia"/>
                <w:sz w:val="24"/>
              </w:rPr>
              <w:t>系统使用过程中数据错误问题处理。</w:t>
            </w:r>
          </w:p>
        </w:tc>
      </w:tr>
      <w:tr>
        <w:tblPrEx>
          <w:tblCellMar>
            <w:top w:w="0" w:type="dxa"/>
            <w:left w:w="108" w:type="dxa"/>
            <w:bottom w:w="0" w:type="dxa"/>
            <w:right w:w="108" w:type="dxa"/>
          </w:tblCellMar>
        </w:tblPrEx>
        <w:trPr>
          <w:trHeight w:val="720" w:hRule="atLeast"/>
          <w:jc w:val="center"/>
        </w:trPr>
        <w:tc>
          <w:tcPr>
            <w:tcW w:w="883" w:type="pct"/>
            <w:vMerge w:val="restart"/>
            <w:tcBorders>
              <w:top w:val="single" w:color="auto" w:sz="4" w:space="0"/>
              <w:left w:val="single" w:color="auto" w:sz="4" w:space="0"/>
              <w:right w:val="single" w:color="auto" w:sz="4" w:space="0"/>
            </w:tcBorders>
            <w:vAlign w:val="center"/>
          </w:tcPr>
          <w:p>
            <w:pPr>
              <w:rPr>
                <w:rFonts w:ascii="宋体" w:hAnsi="宋体" w:cs="宋体"/>
                <w:b/>
                <w:bCs/>
                <w:color w:val="000000"/>
                <w:sz w:val="24"/>
              </w:rPr>
            </w:pPr>
            <w:r>
              <w:rPr>
                <w:rFonts w:hint="eastAsia" w:ascii="宋体" w:hAnsi="宋体" w:cs="宋体"/>
                <w:b/>
                <w:bCs/>
                <w:color w:val="000000"/>
                <w:sz w:val="24"/>
              </w:rPr>
              <w:t>现场技术支持</w:t>
            </w:r>
          </w:p>
        </w:tc>
        <w:tc>
          <w:tcPr>
            <w:tcW w:w="1324" w:type="pct"/>
            <w:tcBorders>
              <w:top w:val="single" w:color="auto" w:sz="4" w:space="0"/>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重大校园活动</w:t>
            </w:r>
          </w:p>
        </w:tc>
        <w:tc>
          <w:tcPr>
            <w:tcW w:w="2792" w:type="pct"/>
            <w:tcBorders>
              <w:top w:val="single" w:color="auto" w:sz="4" w:space="0"/>
              <w:left w:val="nil"/>
              <w:bottom w:val="single" w:color="auto" w:sz="4" w:space="0"/>
              <w:right w:val="single" w:color="auto" w:sz="4" w:space="0"/>
            </w:tcBorders>
            <w:vAlign w:val="bottom"/>
          </w:tcPr>
          <w:p>
            <w:pPr>
              <w:rPr>
                <w:rFonts w:ascii="宋体" w:hAnsi="宋体" w:cs="宋体"/>
                <w:sz w:val="24"/>
              </w:rPr>
            </w:pPr>
            <w:r>
              <w:rPr>
                <w:rFonts w:hint="eastAsia" w:ascii="宋体" w:hAnsi="宋体" w:cs="宋体"/>
                <w:sz w:val="24"/>
              </w:rPr>
              <w:t>在我院有重大校园活动时（例如迎新、离校等），服务商需提供2名及以上技术人员进行现场技术支持与保障。</w:t>
            </w:r>
          </w:p>
        </w:tc>
      </w:tr>
      <w:tr>
        <w:tblPrEx>
          <w:tblCellMar>
            <w:top w:w="0" w:type="dxa"/>
            <w:left w:w="108" w:type="dxa"/>
            <w:bottom w:w="0" w:type="dxa"/>
            <w:right w:w="108" w:type="dxa"/>
          </w:tblCellMar>
        </w:tblPrEx>
        <w:trPr>
          <w:trHeight w:val="720" w:hRule="atLeast"/>
          <w:jc w:val="center"/>
        </w:trPr>
        <w:tc>
          <w:tcPr>
            <w:tcW w:w="883" w:type="pct"/>
            <w:vMerge w:val="continue"/>
            <w:tcBorders>
              <w:left w:val="single" w:color="auto" w:sz="4" w:space="0"/>
              <w:right w:val="single" w:color="auto" w:sz="4" w:space="0"/>
            </w:tcBorders>
            <w:vAlign w:val="center"/>
          </w:tcPr>
          <w:p>
            <w:pPr>
              <w:rPr>
                <w:rFonts w:ascii="宋体" w:hAnsi="宋体" w:cs="宋体"/>
                <w:b/>
                <w:bCs/>
                <w:color w:val="000000"/>
                <w:sz w:val="24"/>
              </w:rPr>
            </w:pPr>
          </w:p>
        </w:tc>
        <w:tc>
          <w:tcPr>
            <w:tcW w:w="1324" w:type="pct"/>
            <w:tcBorders>
              <w:top w:val="single" w:color="auto" w:sz="4" w:space="0"/>
              <w:left w:val="nil"/>
              <w:bottom w:val="single" w:color="auto" w:sz="4" w:space="0"/>
              <w:right w:val="single" w:color="auto" w:sz="4" w:space="0"/>
            </w:tcBorders>
            <w:vAlign w:val="center"/>
          </w:tcPr>
          <w:p>
            <w:pPr>
              <w:rPr>
                <w:sz w:val="24"/>
              </w:rPr>
            </w:pPr>
            <w:r>
              <w:rPr>
                <w:rFonts w:hint="eastAsia"/>
                <w:sz w:val="24"/>
              </w:rPr>
              <w:t>整体系统瘫痪，</w:t>
            </w:r>
            <w:r>
              <w:rPr>
                <w:sz w:val="24"/>
              </w:rPr>
              <w:t></w:t>
            </w:r>
            <w:r>
              <w:rPr>
                <w:rFonts w:hint="eastAsia"/>
                <w:sz w:val="24"/>
              </w:rPr>
              <w:t>基于系统的用户核心业务应用出现严重问题</w:t>
            </w:r>
          </w:p>
        </w:tc>
        <w:tc>
          <w:tcPr>
            <w:tcW w:w="2792" w:type="pct"/>
            <w:tcBorders>
              <w:top w:val="single" w:color="auto" w:sz="4" w:space="0"/>
              <w:left w:val="nil"/>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如</w:t>
            </w:r>
            <w:r>
              <w:rPr>
                <w:rFonts w:ascii="宋体" w:hAnsi="宋体" w:cs="宋体"/>
                <w:sz w:val="24"/>
              </w:rPr>
              <w:t>4</w:t>
            </w:r>
            <w:r>
              <w:rPr>
                <w:rFonts w:hint="eastAsia" w:ascii="宋体" w:hAnsi="宋体" w:cs="宋体"/>
                <w:sz w:val="24"/>
              </w:rPr>
              <w:t>小时内无法解决，服务商应在</w:t>
            </w:r>
            <w:r>
              <w:rPr>
                <w:rFonts w:ascii="宋体" w:hAnsi="宋体" w:cs="宋体"/>
                <w:sz w:val="24"/>
              </w:rPr>
              <w:t>8</w:t>
            </w:r>
            <w:r>
              <w:rPr>
                <w:rFonts w:hint="eastAsia" w:ascii="宋体" w:hAnsi="宋体" w:cs="宋体"/>
                <w:sz w:val="24"/>
              </w:rPr>
              <w:t>小时内派技术人员前往故障现场，提供现场技术支持</w:t>
            </w:r>
          </w:p>
        </w:tc>
      </w:tr>
      <w:tr>
        <w:trPr>
          <w:trHeight w:val="720" w:hRule="atLeast"/>
          <w:jc w:val="center"/>
        </w:trPr>
        <w:tc>
          <w:tcPr>
            <w:tcW w:w="883" w:type="pct"/>
            <w:vMerge w:val="continue"/>
            <w:tcBorders>
              <w:left w:val="single" w:color="auto" w:sz="4" w:space="0"/>
              <w:bottom w:val="single" w:color="auto" w:sz="4" w:space="0"/>
              <w:right w:val="single" w:color="auto" w:sz="4" w:space="0"/>
            </w:tcBorders>
            <w:vAlign w:val="center"/>
          </w:tcPr>
          <w:p>
            <w:pPr>
              <w:rPr>
                <w:rFonts w:ascii="宋体" w:hAnsi="宋体" w:cs="宋体"/>
                <w:b/>
                <w:bCs/>
                <w:color w:val="000000"/>
                <w:sz w:val="24"/>
              </w:rPr>
            </w:pPr>
          </w:p>
        </w:tc>
        <w:tc>
          <w:tcPr>
            <w:tcW w:w="1324" w:type="pct"/>
            <w:tcBorders>
              <w:top w:val="single" w:color="auto" w:sz="4" w:space="0"/>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系统整体性能下降或不稳定，严重影响用户核心应用系统</w:t>
            </w:r>
          </w:p>
        </w:tc>
        <w:tc>
          <w:tcPr>
            <w:tcW w:w="2792" w:type="pct"/>
            <w:tcBorders>
              <w:top w:val="single" w:color="auto" w:sz="4" w:space="0"/>
              <w:left w:val="nil"/>
              <w:bottom w:val="single" w:color="auto" w:sz="4" w:space="0"/>
              <w:right w:val="single" w:color="auto" w:sz="4" w:space="0"/>
            </w:tcBorders>
            <w:vAlign w:val="bottom"/>
          </w:tcPr>
          <w:p>
            <w:pPr>
              <w:rPr>
                <w:rFonts w:ascii="宋体" w:hAnsi="宋体" w:cs="宋体"/>
                <w:sz w:val="24"/>
              </w:rPr>
            </w:pPr>
            <w:r>
              <w:rPr>
                <w:rFonts w:hint="eastAsia" w:ascii="宋体" w:hAnsi="宋体" w:cs="宋体"/>
                <w:sz w:val="24"/>
              </w:rPr>
              <w:t>如</w:t>
            </w:r>
            <w:r>
              <w:rPr>
                <w:rFonts w:ascii="宋体" w:hAnsi="宋体" w:cs="宋体"/>
                <w:sz w:val="24"/>
              </w:rPr>
              <w:t>8</w:t>
            </w:r>
            <w:r>
              <w:rPr>
                <w:rFonts w:hint="eastAsia" w:ascii="宋体" w:hAnsi="宋体" w:cs="宋体"/>
                <w:sz w:val="24"/>
              </w:rPr>
              <w:t>小时内无法解决，服务商应在</w:t>
            </w:r>
            <w:r>
              <w:rPr>
                <w:rFonts w:ascii="宋体" w:hAnsi="宋体" w:cs="宋体"/>
                <w:sz w:val="24"/>
              </w:rPr>
              <w:t>8</w:t>
            </w:r>
            <w:r>
              <w:rPr>
                <w:rFonts w:hint="eastAsia" w:ascii="宋体" w:hAnsi="宋体" w:cs="宋体"/>
                <w:sz w:val="24"/>
              </w:rPr>
              <w:t>小时内派工程人员前往故障现场，提供现场技术支持</w:t>
            </w:r>
          </w:p>
        </w:tc>
      </w:tr>
      <w:tr>
        <w:tblPrEx>
          <w:tblCellMar>
            <w:top w:w="0" w:type="dxa"/>
            <w:left w:w="108" w:type="dxa"/>
            <w:bottom w:w="0" w:type="dxa"/>
            <w:right w:w="108" w:type="dxa"/>
          </w:tblCellMar>
        </w:tblPrEx>
        <w:trPr>
          <w:trHeight w:val="720" w:hRule="atLeast"/>
          <w:jc w:val="center"/>
        </w:trPr>
        <w:tc>
          <w:tcPr>
            <w:tcW w:w="883"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000000"/>
                <w:sz w:val="24"/>
              </w:rPr>
            </w:pPr>
            <w:r>
              <w:rPr>
                <w:rFonts w:hint="eastAsia" w:ascii="宋体" w:hAnsi="宋体" w:cs="宋体"/>
                <w:b/>
                <w:bCs/>
                <w:color w:val="000000"/>
                <w:sz w:val="24"/>
              </w:rPr>
              <w:t>系统培训</w:t>
            </w:r>
          </w:p>
        </w:tc>
        <w:tc>
          <w:tcPr>
            <w:tcW w:w="1324" w:type="pct"/>
            <w:tcBorders>
              <w:top w:val="single" w:color="auto" w:sz="4" w:space="0"/>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培训支持</w:t>
            </w:r>
          </w:p>
        </w:tc>
        <w:tc>
          <w:tcPr>
            <w:tcW w:w="2792" w:type="pct"/>
            <w:tcBorders>
              <w:top w:val="single" w:color="auto" w:sz="4" w:space="0"/>
              <w:left w:val="nil"/>
              <w:bottom w:val="single" w:color="auto" w:sz="4" w:space="0"/>
              <w:right w:val="single" w:color="auto" w:sz="4" w:space="0"/>
            </w:tcBorders>
            <w:vAlign w:val="bottom"/>
          </w:tcPr>
          <w:p>
            <w:pPr>
              <w:rPr>
                <w:rFonts w:ascii="宋体" w:hAnsi="宋体" w:cs="宋体"/>
                <w:sz w:val="24"/>
              </w:rPr>
            </w:pPr>
            <w:r>
              <w:rPr>
                <w:rFonts w:hint="eastAsia" w:ascii="宋体" w:hAnsi="宋体" w:cs="宋体"/>
                <w:sz w:val="24"/>
              </w:rPr>
              <w:t>服务商需对我院需要使用系统的相关人员进行使用指导和培训。</w:t>
            </w:r>
          </w:p>
        </w:tc>
      </w:tr>
      <w:tr>
        <w:tblPrEx>
          <w:tblCellMar>
            <w:top w:w="0" w:type="dxa"/>
            <w:left w:w="108" w:type="dxa"/>
            <w:bottom w:w="0" w:type="dxa"/>
            <w:right w:w="108" w:type="dxa"/>
          </w:tblCellMar>
        </w:tblPrEx>
        <w:trPr>
          <w:trHeight w:val="720" w:hRule="atLeast"/>
          <w:jc w:val="center"/>
        </w:trPr>
        <w:tc>
          <w:tcPr>
            <w:tcW w:w="883"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000000"/>
                <w:sz w:val="24"/>
              </w:rPr>
            </w:pPr>
            <w:bookmarkStart w:id="0" w:name="_GoBack"/>
            <w:bookmarkEnd w:id="0"/>
            <w:r>
              <w:rPr>
                <w:rFonts w:hint="eastAsia" w:ascii="宋体" w:hAnsi="宋体" w:cs="宋体"/>
                <w:b/>
                <w:bCs/>
                <w:color w:val="000000"/>
                <w:sz w:val="24"/>
              </w:rPr>
              <w:t>服务团队说明</w:t>
            </w:r>
          </w:p>
        </w:tc>
        <w:tc>
          <w:tcPr>
            <w:tcW w:w="1324" w:type="pct"/>
            <w:tcBorders>
              <w:top w:val="single" w:color="auto" w:sz="4" w:space="0"/>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提供服务团队说明文档</w:t>
            </w:r>
          </w:p>
        </w:tc>
        <w:tc>
          <w:tcPr>
            <w:tcW w:w="2792" w:type="pct"/>
            <w:tcBorders>
              <w:top w:val="single" w:color="auto" w:sz="4" w:space="0"/>
              <w:left w:val="nil"/>
              <w:bottom w:val="single" w:color="auto" w:sz="4" w:space="0"/>
              <w:right w:val="single" w:color="auto" w:sz="4" w:space="0"/>
            </w:tcBorders>
            <w:vAlign w:val="bottom"/>
          </w:tcPr>
          <w:p>
            <w:pPr>
              <w:rPr>
                <w:rFonts w:ascii="宋体" w:hAnsi="宋体" w:cs="宋体"/>
                <w:sz w:val="24"/>
              </w:rPr>
            </w:pPr>
            <w:r>
              <w:rPr>
                <w:rFonts w:hint="eastAsia" w:ascii="宋体" w:hAnsi="宋体" w:cs="宋体"/>
                <w:sz w:val="24"/>
              </w:rPr>
              <w:t>提供本项目服务团队组织说明，包含项目成员、职责、联系方式。</w:t>
            </w:r>
          </w:p>
        </w:tc>
      </w:tr>
    </w:tbl>
    <w:p>
      <w:pPr>
        <w:ind w:firstLine="562" w:firstLineChars="200"/>
        <w:rPr>
          <w:b/>
          <w:sz w:val="28"/>
          <w:szCs w:val="28"/>
        </w:rPr>
      </w:pPr>
      <w:r>
        <w:rPr>
          <w:rFonts w:hint="eastAsia"/>
          <w:b/>
          <w:sz w:val="28"/>
          <w:szCs w:val="28"/>
        </w:rPr>
        <w:t>五、验收方式</w:t>
      </w:r>
    </w:p>
    <w:p>
      <w:pPr>
        <w:ind w:firstLine="560" w:firstLineChars="200"/>
        <w:rPr>
          <w:sz w:val="28"/>
          <w:szCs w:val="28"/>
        </w:rPr>
      </w:pPr>
      <w:r>
        <w:rPr>
          <w:rFonts w:hint="eastAsia"/>
          <w:sz w:val="28"/>
          <w:szCs w:val="28"/>
        </w:rPr>
        <w:t>验收由学院项目办组织验收小组进行验收，服务方在整个服务过程中均要有文档记录，便于问题跟踪和分析，并在验收时提供以下服务报告：</w:t>
      </w:r>
    </w:p>
    <w:p>
      <w:pPr>
        <w:ind w:firstLine="560" w:firstLineChars="200"/>
        <w:rPr>
          <w:sz w:val="28"/>
          <w:szCs w:val="28"/>
        </w:rPr>
      </w:pPr>
      <w:r>
        <w:rPr>
          <w:rFonts w:hint="eastAsia"/>
          <w:sz w:val="28"/>
          <w:szCs w:val="28"/>
        </w:rPr>
        <w:t>（1）服务计划</w:t>
      </w:r>
    </w:p>
    <w:p>
      <w:pPr>
        <w:ind w:firstLine="560" w:firstLineChars="200"/>
        <w:rPr>
          <w:sz w:val="28"/>
          <w:szCs w:val="28"/>
        </w:rPr>
      </w:pPr>
      <w:r>
        <w:rPr>
          <w:rFonts w:hint="eastAsia"/>
          <w:sz w:val="28"/>
          <w:szCs w:val="28"/>
        </w:rPr>
        <w:t>（2）问题处理报告</w:t>
      </w:r>
    </w:p>
    <w:p>
      <w:pPr>
        <w:ind w:firstLine="560" w:firstLineChars="200"/>
        <w:rPr>
          <w:sz w:val="28"/>
          <w:szCs w:val="28"/>
        </w:rPr>
      </w:pPr>
      <w:r>
        <w:rPr>
          <w:rFonts w:hint="eastAsia"/>
          <w:sz w:val="28"/>
          <w:szCs w:val="28"/>
        </w:rPr>
        <w:t>（3）定期巡检报告</w:t>
      </w:r>
    </w:p>
    <w:p>
      <w:pPr>
        <w:ind w:firstLine="560" w:firstLineChars="200"/>
        <w:rPr>
          <w:sz w:val="28"/>
          <w:szCs w:val="28"/>
        </w:rPr>
      </w:pPr>
      <w:r>
        <w:rPr>
          <w:rFonts w:hint="eastAsia"/>
          <w:sz w:val="28"/>
          <w:szCs w:val="28"/>
        </w:rPr>
        <w:t>（</w:t>
      </w:r>
      <w:r>
        <w:rPr>
          <w:sz w:val="28"/>
          <w:szCs w:val="28"/>
        </w:rPr>
        <w:t>4</w:t>
      </w:r>
      <w:r>
        <w:rPr>
          <w:rFonts w:hint="eastAsia"/>
          <w:sz w:val="28"/>
          <w:szCs w:val="28"/>
        </w:rPr>
        <w:t>）年度工作总结</w:t>
      </w:r>
    </w:p>
    <w:p>
      <w:pPr>
        <w:ind w:firstLine="562" w:firstLineChars="200"/>
        <w:rPr>
          <w:b/>
          <w:sz w:val="28"/>
          <w:szCs w:val="28"/>
        </w:rPr>
      </w:pPr>
      <w:r>
        <w:rPr>
          <w:rFonts w:hint="eastAsia"/>
          <w:b/>
          <w:sz w:val="28"/>
          <w:szCs w:val="28"/>
        </w:rPr>
        <w:t>六、付款方式</w:t>
      </w:r>
    </w:p>
    <w:p>
      <w:pPr>
        <w:ind w:firstLine="560" w:firstLineChars="200"/>
        <w:rPr>
          <w:sz w:val="28"/>
          <w:szCs w:val="28"/>
        </w:rPr>
      </w:pPr>
      <w:r>
        <w:rPr>
          <w:rFonts w:hint="eastAsia"/>
          <w:sz w:val="28"/>
          <w:szCs w:val="28"/>
        </w:rPr>
        <w:t>合同签订后支付50%，余款验收合格后支付。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M2NjYzZmMGFkMTE0YWFjOTNmNDg4ZTRjZGNlYzIifQ=="/>
  </w:docVars>
  <w:rsids>
    <w:rsidRoot w:val="00187FEC"/>
    <w:rsid w:val="0000325D"/>
    <w:rsid w:val="0003505F"/>
    <w:rsid w:val="00050099"/>
    <w:rsid w:val="0005711A"/>
    <w:rsid w:val="0007291F"/>
    <w:rsid w:val="00093525"/>
    <w:rsid w:val="00097B5A"/>
    <w:rsid w:val="000C02F6"/>
    <w:rsid w:val="000E6632"/>
    <w:rsid w:val="000F4AA2"/>
    <w:rsid w:val="0011416C"/>
    <w:rsid w:val="00115A52"/>
    <w:rsid w:val="00116A04"/>
    <w:rsid w:val="00133F14"/>
    <w:rsid w:val="00140A5C"/>
    <w:rsid w:val="0014421C"/>
    <w:rsid w:val="00147C6A"/>
    <w:rsid w:val="00154DAD"/>
    <w:rsid w:val="00184B29"/>
    <w:rsid w:val="00187FEC"/>
    <w:rsid w:val="00191A88"/>
    <w:rsid w:val="001C70FB"/>
    <w:rsid w:val="001D6A9D"/>
    <w:rsid w:val="001D7408"/>
    <w:rsid w:val="00201753"/>
    <w:rsid w:val="0023641E"/>
    <w:rsid w:val="0025340E"/>
    <w:rsid w:val="00261C01"/>
    <w:rsid w:val="002D38CC"/>
    <w:rsid w:val="002F3173"/>
    <w:rsid w:val="002F6BAA"/>
    <w:rsid w:val="00305D36"/>
    <w:rsid w:val="00316DB4"/>
    <w:rsid w:val="00323E6D"/>
    <w:rsid w:val="003373DF"/>
    <w:rsid w:val="003507CE"/>
    <w:rsid w:val="00354428"/>
    <w:rsid w:val="003B1A4F"/>
    <w:rsid w:val="003C126B"/>
    <w:rsid w:val="003E70FD"/>
    <w:rsid w:val="00432040"/>
    <w:rsid w:val="00455DEF"/>
    <w:rsid w:val="004675DF"/>
    <w:rsid w:val="004727F2"/>
    <w:rsid w:val="00494ECC"/>
    <w:rsid w:val="004B515B"/>
    <w:rsid w:val="004E1D27"/>
    <w:rsid w:val="004E3A1B"/>
    <w:rsid w:val="004E4435"/>
    <w:rsid w:val="004F5E2A"/>
    <w:rsid w:val="005026F5"/>
    <w:rsid w:val="00506B1B"/>
    <w:rsid w:val="00507053"/>
    <w:rsid w:val="00513678"/>
    <w:rsid w:val="00523423"/>
    <w:rsid w:val="005602B9"/>
    <w:rsid w:val="00563165"/>
    <w:rsid w:val="0058477A"/>
    <w:rsid w:val="0059574E"/>
    <w:rsid w:val="00596394"/>
    <w:rsid w:val="005A5AD9"/>
    <w:rsid w:val="005F454F"/>
    <w:rsid w:val="00600019"/>
    <w:rsid w:val="00612945"/>
    <w:rsid w:val="00625D2A"/>
    <w:rsid w:val="00636CC1"/>
    <w:rsid w:val="006621F6"/>
    <w:rsid w:val="006A44BD"/>
    <w:rsid w:val="006B72F8"/>
    <w:rsid w:val="006B7A37"/>
    <w:rsid w:val="007105D0"/>
    <w:rsid w:val="00720282"/>
    <w:rsid w:val="007216E1"/>
    <w:rsid w:val="00721976"/>
    <w:rsid w:val="00725323"/>
    <w:rsid w:val="007557A4"/>
    <w:rsid w:val="00770AB6"/>
    <w:rsid w:val="0078777A"/>
    <w:rsid w:val="007A51AF"/>
    <w:rsid w:val="007B7296"/>
    <w:rsid w:val="007D5EE0"/>
    <w:rsid w:val="007E671C"/>
    <w:rsid w:val="007E7616"/>
    <w:rsid w:val="007F3156"/>
    <w:rsid w:val="00814CE3"/>
    <w:rsid w:val="0083174A"/>
    <w:rsid w:val="008347B0"/>
    <w:rsid w:val="00836ACE"/>
    <w:rsid w:val="00853195"/>
    <w:rsid w:val="00877D88"/>
    <w:rsid w:val="008857E4"/>
    <w:rsid w:val="00894E6F"/>
    <w:rsid w:val="00895C62"/>
    <w:rsid w:val="008A00E2"/>
    <w:rsid w:val="008A48BB"/>
    <w:rsid w:val="008C5013"/>
    <w:rsid w:val="00904A54"/>
    <w:rsid w:val="00957F47"/>
    <w:rsid w:val="009652FE"/>
    <w:rsid w:val="00980809"/>
    <w:rsid w:val="00987DE7"/>
    <w:rsid w:val="009A2175"/>
    <w:rsid w:val="009D4E59"/>
    <w:rsid w:val="009F08CF"/>
    <w:rsid w:val="00A10FF1"/>
    <w:rsid w:val="00A23640"/>
    <w:rsid w:val="00A243F9"/>
    <w:rsid w:val="00A76431"/>
    <w:rsid w:val="00AC10C5"/>
    <w:rsid w:val="00AD4B9D"/>
    <w:rsid w:val="00AD56C4"/>
    <w:rsid w:val="00AF2B2C"/>
    <w:rsid w:val="00B21018"/>
    <w:rsid w:val="00B32AB4"/>
    <w:rsid w:val="00B4066D"/>
    <w:rsid w:val="00B53E4A"/>
    <w:rsid w:val="00B6606A"/>
    <w:rsid w:val="00B74C7B"/>
    <w:rsid w:val="00BB77B0"/>
    <w:rsid w:val="00BE1D59"/>
    <w:rsid w:val="00BE1DE1"/>
    <w:rsid w:val="00CB3494"/>
    <w:rsid w:val="00CC628A"/>
    <w:rsid w:val="00D111B9"/>
    <w:rsid w:val="00D141DD"/>
    <w:rsid w:val="00D44754"/>
    <w:rsid w:val="00D60BAF"/>
    <w:rsid w:val="00D6566B"/>
    <w:rsid w:val="00DC2A1F"/>
    <w:rsid w:val="00E351E6"/>
    <w:rsid w:val="00E82C71"/>
    <w:rsid w:val="00E86C8A"/>
    <w:rsid w:val="00E967BE"/>
    <w:rsid w:val="00EC1D3E"/>
    <w:rsid w:val="00EF0710"/>
    <w:rsid w:val="00F049EC"/>
    <w:rsid w:val="00F05FEC"/>
    <w:rsid w:val="00F345B5"/>
    <w:rsid w:val="00F514E1"/>
    <w:rsid w:val="00F53260"/>
    <w:rsid w:val="00F55A38"/>
    <w:rsid w:val="00FA5B33"/>
    <w:rsid w:val="00FD1493"/>
    <w:rsid w:val="00FD797C"/>
    <w:rsid w:val="2F6973FB"/>
    <w:rsid w:val="5F010F3B"/>
    <w:rsid w:val="70841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1309</Words>
  <Characters>1365</Characters>
  <Lines>10</Lines>
  <Paragraphs>2</Paragraphs>
  <TotalTime>173</TotalTime>
  <ScaleCrop>false</ScaleCrop>
  <LinksUpToDate>false</LinksUpToDate>
  <CharactersWithSpaces>1365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2020-01-06T02:43:00Z</dcterms:created>
  <dc:creator>任维</dc:creator>
  <cp:lastModifiedBy>liwei2088</cp:lastModifiedBy>
  <cp:lastPrinted>2021-12-10T05:12:00Z</cp:lastPrinted>
  <dcterms:modified xsi:type="dcterms:W3CDTF">2023-02-14T04:55:15Z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0CA8B2671FDE459DB657D12C5C2AB2CF</vt:lpwstr>
  </property>
</Properties>
</file>